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b/>
          <w:bCs/>
          <w:sz w:val="52"/>
          <w:szCs w:val="52"/>
        </w:rPr>
      </w:pPr>
      <w:r>
        <w:rPr>
          <w:rFonts w:ascii="宋体" w:hAnsi="宋体"/>
          <w:b/>
          <w:bCs/>
          <w:sz w:val="52"/>
          <w:szCs w:val="52"/>
        </w:rPr>
        <w:t>2024</w:t>
      </w:r>
      <w:r>
        <w:rPr>
          <w:rFonts w:hint="eastAsia" w:ascii="宋体" w:hAnsi="宋体"/>
          <w:b/>
          <w:bCs/>
          <w:sz w:val="52"/>
          <w:szCs w:val="52"/>
        </w:rPr>
        <w:t>年度内蒙古自治区巴彦淖尔市医院</w:t>
      </w:r>
    </w:p>
    <w:p>
      <w:pPr>
        <w:spacing w:line="360" w:lineRule="auto"/>
        <w:jc w:val="center"/>
        <w:rPr>
          <w:rFonts w:ascii="宋体" w:hAnsi="宋体"/>
          <w:b/>
          <w:bCs/>
          <w:sz w:val="52"/>
          <w:szCs w:val="52"/>
        </w:rPr>
      </w:pPr>
      <w:r>
        <w:rPr>
          <w:rFonts w:hint="eastAsia" w:ascii="宋体" w:hAnsi="宋体"/>
          <w:b/>
          <w:bCs/>
          <w:sz w:val="52"/>
          <w:szCs w:val="52"/>
        </w:rPr>
        <w:t>公开报告</w:t>
      </w: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ind w:firstLine="2249" w:firstLineChars="700"/>
        <w:rPr>
          <w:rFonts w:ascii="仿宋" w:hAnsi="仿宋" w:eastAsia="仿宋"/>
          <w:b/>
          <w:sz w:val="32"/>
          <w:szCs w:val="32"/>
        </w:rPr>
        <w:sectPr>
          <w:footerReference r:id="rId3" w:type="default"/>
          <w:pgSz w:w="11906" w:h="16838"/>
          <w:pgMar w:top="1440" w:right="1083" w:bottom="1440" w:left="1083" w:header="0" w:footer="720" w:gutter="0"/>
          <w:cols w:space="425" w:num="1"/>
          <w:docGrid w:type="lines" w:linePitch="312" w:charSpace="0"/>
        </w:sectPr>
      </w:pPr>
    </w:p>
    <w:p>
      <w:pPr>
        <w:widowControl/>
        <w:spacing w:after="240"/>
        <w:jc w:val="center"/>
        <w:rPr>
          <w:rFonts w:ascii="Times New Roman" w:hAnsi="Times New Roman" w:eastAsia="Times New Roman" w:cs="Times New Roman"/>
          <w:kern w:val="0"/>
          <w:sz w:val="24"/>
        </w:rPr>
      </w:pPr>
      <w:bookmarkStart w:id="0" w:name="a000"/>
      <w:r>
        <w:rPr>
          <w:rFonts w:ascii="仿宋_GB2312" w:hAnsi="仿宋_GB2312" w:eastAsia="仿宋_GB2312" w:cs="仿宋_GB2312"/>
          <w:b/>
          <w:bCs/>
          <w:kern w:val="0"/>
          <w:sz w:val="54"/>
          <w:szCs w:val="54"/>
        </w:rPr>
        <w:t>目 录</w:t>
      </w:r>
    </w:p>
    <w:p>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第一部分 部门（单位）概况</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一、主要职能、职责</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二、部门（单位）机构设置及决算单位构成情况</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三、</w:t>
      </w:r>
      <w:r>
        <w:rPr>
          <w:rFonts w:ascii="times_new_roman" w:hAnsi="times_new_roman" w:eastAsia="times_new_roman" w:cs="times_new_roman"/>
          <w:kern w:val="0"/>
          <w:sz w:val="27"/>
          <w:szCs w:val="27"/>
        </w:rPr>
        <w:t>2024</w:t>
      </w:r>
      <w:r>
        <w:rPr>
          <w:rFonts w:ascii="仿宋_GB2312" w:hAnsi="仿宋_GB2312" w:eastAsia="仿宋_GB2312" w:cs="仿宋_GB2312"/>
          <w:kern w:val="0"/>
          <w:sz w:val="27"/>
          <w:szCs w:val="27"/>
        </w:rPr>
        <w:t>年度部门（单位）主要工作完成情况</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第二部分 部门（单位）决算情况说明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一、收入支出决算总体情况说明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二、收入决算情况说明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三、支出决算情况说明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四、财政拨款收入支出决算总体情况说明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五、一般公共预算财政拨款支出决算情况说明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六、一般公共预算财政拨款基本支出决算情况说明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七、一般公共预算财政拨款项目支出决算情况说明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八、财政拨款“三公”经费支出决算情况说明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九、政府性基金预算财政拨款支出决算情况说明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十、国有资本经营预算财政拨款支出决算情况说明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十一、机关运行经费（公用经费）支出决算情况说明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十二、政府采购支出决算情况说明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十三、国有资产占用情况说明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十四、预算绩效情况说明</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第三部分 名词解释</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第四部分 决算公开联系方式及信息反馈渠道</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第五部分 部门（单位）决算表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一、收入支出决算总表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二、收入决算表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三、支出决算表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四、财政拨款收入支出决算总表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五、一般公共预算财政拨款支出决算表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六、一般公共预算财政拨款基本支出决算明细表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七、一般公共预算财政拨款项目支出决算明细表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八、政府性基金预算财政拨款收入支出决算表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九、国有资本经营预算财政拨款收入支出决算表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十、财政拨款“三公”经费支出决算表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十一、机关运行经费支出、国有资产占用情况及政府采购支出信息表</w:t>
      </w:r>
    </w:p>
    <w:p>
      <w:pPr>
        <w:widowControl/>
        <w:spacing w:before="240" w:after="240"/>
        <w:rPr>
          <w:rFonts w:ascii="Times New Roman" w:hAnsi="Times New Roman" w:eastAsia="Times New Roman" w:cs="Times New Roman"/>
          <w:kern w:val="0"/>
          <w:sz w:val="24"/>
        </w:rPr>
      </w:pPr>
    </w:p>
    <w:p>
      <w:pPr>
        <w:pStyle w:val="3"/>
        <w:keepNext/>
        <w:keepLines/>
        <w:tabs>
          <w:tab w:val="left" w:pos="4392"/>
        </w:tabs>
        <w:spacing w:line="360" w:lineRule="auto"/>
        <w:jc w:val="center"/>
        <w:rPr>
          <w:rFonts w:hint="default" w:ascii="方正小标宋简体" w:hAnsi="Times New Roman" w:eastAsia="方正小标宋简体"/>
          <w:kern w:val="2"/>
          <w:sz w:val="36"/>
        </w:rPr>
      </w:pPr>
      <w:r>
        <w:rPr>
          <w:rFonts w:ascii="方正小标宋简体" w:hAnsi="Times New Roman" w:eastAsia="方正小标宋简体"/>
          <w:kern w:val="2"/>
          <w:sz w:val="36"/>
        </w:rPr>
        <w:t>第一部分  部门（单位）概况</w:t>
      </w:r>
    </w:p>
    <w:p>
      <w:pPr>
        <w:spacing w:line="600" w:lineRule="exact"/>
        <w:jc w:val="both"/>
        <w:rPr>
          <w:rFonts w:hint="default" w:ascii="Times New Roman" w:hAnsi="Times New Roman" w:eastAsia="黑体"/>
          <w:b/>
          <w:kern w:val="2"/>
          <w:sz w:val="32"/>
        </w:rPr>
      </w:pPr>
      <w:r>
        <w:rPr>
          <w:rFonts w:ascii="黑体" w:hAnsi="Times New Roman" w:eastAsia="黑体"/>
          <w:b/>
          <w:kern w:val="2"/>
          <w:sz w:val="32"/>
        </w:rPr>
        <w:t>一、主要职能、职责</w:t>
      </w:r>
    </w:p>
    <w:p>
      <w:pPr>
        <w:widowControl/>
        <w:spacing w:before="240" w:after="240"/>
        <w:ind w:firstLine="540" w:firstLineChars="200"/>
        <w:rPr>
          <w:rFonts w:hint="eastAsia" w:ascii="仿宋_GB2312" w:hAnsi="仿宋_GB2312" w:eastAsia="仿宋_GB2312" w:cs="仿宋_GB2312"/>
          <w:color w:val="000000"/>
          <w:kern w:val="0"/>
          <w:sz w:val="27"/>
          <w:szCs w:val="27"/>
          <w:lang w:val="en-US" w:eastAsia="zh-CN"/>
        </w:rPr>
      </w:pPr>
      <w:r>
        <w:rPr>
          <w:rFonts w:hint="default" w:ascii="仿宋_GB2312" w:hAnsi="仿宋_GB2312" w:eastAsia="仿宋_GB2312" w:cs="仿宋_GB2312"/>
          <w:color w:val="000000"/>
          <w:kern w:val="0"/>
          <w:sz w:val="27"/>
          <w:szCs w:val="27"/>
          <w:lang w:val="en-US" w:eastAsia="zh-CN"/>
        </w:rPr>
        <w:t xml:space="preserve">巴彦淖尔市医院是跨区域提供医疗卫生服务,具有医疗、教学、科 研、预防、康复、健康管理及公共卫生服务的医疗机构。主要职责有： </w:t>
      </w:r>
      <w:r>
        <w:rPr>
          <w:rFonts w:hint="eastAsia" w:ascii="仿宋_GB2312" w:hAnsi="仿宋_GB2312" w:eastAsia="仿宋_GB2312" w:cs="仿宋_GB2312"/>
          <w:color w:val="000000"/>
          <w:kern w:val="0"/>
          <w:sz w:val="27"/>
          <w:szCs w:val="27"/>
          <w:lang w:val="en-US" w:eastAsia="zh-CN"/>
        </w:rPr>
        <w:t xml:space="preserve">     </w:t>
      </w:r>
    </w:p>
    <w:p>
      <w:pPr>
        <w:widowControl/>
        <w:spacing w:before="240" w:after="240"/>
        <w:rPr>
          <w:rFonts w:hint="default" w:ascii="仿宋_GB2312" w:hAnsi="仿宋_GB2312" w:eastAsia="仿宋_GB2312" w:cs="仿宋_GB2312"/>
          <w:color w:val="000000"/>
          <w:kern w:val="0"/>
          <w:sz w:val="27"/>
          <w:szCs w:val="27"/>
          <w:lang w:val="en-US" w:eastAsia="zh-CN"/>
        </w:rPr>
      </w:pPr>
      <w:r>
        <w:rPr>
          <w:rFonts w:hint="default" w:ascii="仿宋_GB2312" w:hAnsi="仿宋_GB2312" w:eastAsia="仿宋_GB2312" w:cs="仿宋_GB2312"/>
          <w:color w:val="000000"/>
          <w:kern w:val="0"/>
          <w:sz w:val="27"/>
          <w:szCs w:val="27"/>
          <w:lang w:val="en-US" w:eastAsia="zh-CN"/>
        </w:rPr>
        <w:t xml:space="preserve">1、提供专科(包括特殊专科)医疗服务。 </w:t>
      </w:r>
    </w:p>
    <w:p>
      <w:pPr>
        <w:widowControl/>
        <w:spacing w:before="240" w:after="24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2、</w:t>
      </w:r>
      <w:r>
        <w:rPr>
          <w:rFonts w:hint="default" w:ascii="仿宋_GB2312" w:hAnsi="仿宋_GB2312" w:eastAsia="仿宋_GB2312" w:cs="仿宋_GB2312"/>
          <w:color w:val="000000"/>
          <w:kern w:val="0"/>
          <w:sz w:val="27"/>
          <w:szCs w:val="27"/>
          <w:lang w:val="en-US" w:eastAsia="zh-CN"/>
        </w:rPr>
        <w:t xml:space="preserve">解决急危重症和疑难复杂疾病诊洽。 </w:t>
      </w:r>
    </w:p>
    <w:p>
      <w:pPr>
        <w:widowControl/>
        <w:spacing w:before="240" w:after="24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3、</w:t>
      </w:r>
      <w:r>
        <w:rPr>
          <w:rFonts w:hint="default" w:ascii="仿宋_GB2312" w:hAnsi="仿宋_GB2312" w:eastAsia="仿宋_GB2312" w:cs="仿宋_GB2312"/>
          <w:color w:val="000000"/>
          <w:kern w:val="0"/>
          <w:sz w:val="27"/>
          <w:szCs w:val="27"/>
          <w:lang w:val="en-US" w:eastAsia="zh-CN"/>
        </w:rPr>
        <w:t>实行分级诊疗和双向转诊制度。</w:t>
      </w:r>
    </w:p>
    <w:p>
      <w:pPr>
        <w:widowControl/>
        <w:spacing w:before="240" w:after="24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4、</w:t>
      </w:r>
      <w:r>
        <w:rPr>
          <w:rFonts w:hint="default" w:ascii="仿宋_GB2312" w:hAnsi="仿宋_GB2312" w:eastAsia="仿宋_GB2312" w:cs="仿宋_GB2312"/>
          <w:color w:val="000000"/>
          <w:kern w:val="0"/>
          <w:sz w:val="27"/>
          <w:szCs w:val="27"/>
          <w:lang w:val="en-US" w:eastAsia="zh-CN"/>
        </w:rPr>
        <w:t>对下级医院进行业务技术指导和人才培养。</w:t>
      </w:r>
    </w:p>
    <w:p>
      <w:pPr>
        <w:widowControl/>
        <w:spacing w:before="240" w:after="24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5、</w:t>
      </w:r>
      <w:r>
        <w:rPr>
          <w:rFonts w:hint="default" w:ascii="仿宋_GB2312" w:hAnsi="仿宋_GB2312" w:eastAsia="仿宋_GB2312" w:cs="仿宋_GB2312"/>
          <w:color w:val="000000"/>
          <w:kern w:val="0"/>
          <w:sz w:val="27"/>
          <w:szCs w:val="27"/>
          <w:lang w:val="en-US" w:eastAsia="zh-CN"/>
        </w:rPr>
        <w:t xml:space="preserve">承担医联体建设相关工作。 </w:t>
      </w:r>
    </w:p>
    <w:p>
      <w:pPr>
        <w:widowControl/>
        <w:spacing w:before="240" w:after="24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6、</w:t>
      </w:r>
      <w:r>
        <w:rPr>
          <w:rFonts w:hint="default" w:ascii="仿宋_GB2312" w:hAnsi="仿宋_GB2312" w:eastAsia="仿宋_GB2312" w:cs="仿宋_GB2312"/>
          <w:color w:val="000000"/>
          <w:kern w:val="0"/>
          <w:sz w:val="27"/>
          <w:szCs w:val="27"/>
          <w:lang w:val="en-US" w:eastAsia="zh-CN"/>
        </w:rPr>
        <w:t>承担培养各种医学专业人才特别是高级专业人才的5 教学任务。</w:t>
      </w:r>
    </w:p>
    <w:p>
      <w:pPr>
        <w:widowControl/>
        <w:spacing w:before="240" w:after="24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7、</w:t>
      </w:r>
      <w:r>
        <w:rPr>
          <w:rFonts w:hint="default" w:ascii="仿宋_GB2312" w:hAnsi="仿宋_GB2312" w:eastAsia="仿宋_GB2312" w:cs="仿宋_GB2312"/>
          <w:color w:val="000000"/>
          <w:kern w:val="0"/>
          <w:sz w:val="27"/>
          <w:szCs w:val="27"/>
          <w:lang w:val="en-US" w:eastAsia="zh-CN"/>
        </w:rPr>
        <w:t xml:space="preserve">承担市级及以上科研课题。 </w:t>
      </w:r>
    </w:p>
    <w:p>
      <w:pPr>
        <w:widowControl/>
        <w:spacing w:before="240" w:after="24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8、</w:t>
      </w:r>
      <w:r>
        <w:rPr>
          <w:rFonts w:hint="default" w:ascii="仿宋_GB2312" w:hAnsi="仿宋_GB2312" w:eastAsia="仿宋_GB2312" w:cs="仿宋_GB2312"/>
          <w:color w:val="000000"/>
          <w:kern w:val="0"/>
          <w:sz w:val="27"/>
          <w:szCs w:val="27"/>
          <w:lang w:val="en-US" w:eastAsia="zh-CN"/>
        </w:rPr>
        <w:t>参与和指导一、二级预防工作。</w:t>
      </w:r>
    </w:p>
    <w:p>
      <w:pPr>
        <w:widowControl/>
        <w:spacing w:before="240" w:after="24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9、</w:t>
      </w:r>
      <w:r>
        <w:rPr>
          <w:rFonts w:hint="default" w:ascii="仿宋_GB2312" w:hAnsi="仿宋_GB2312" w:eastAsia="仿宋_GB2312" w:cs="仿宋_GB2312"/>
          <w:color w:val="000000"/>
          <w:kern w:val="0"/>
          <w:sz w:val="27"/>
          <w:szCs w:val="27"/>
          <w:lang w:val="en-US" w:eastAsia="zh-CN"/>
        </w:rPr>
        <w:t xml:space="preserve">承担健康管理工作。 </w:t>
      </w:r>
    </w:p>
    <w:p>
      <w:pPr>
        <w:widowControl/>
        <w:spacing w:before="240" w:after="24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10、</w:t>
      </w:r>
      <w:r>
        <w:rPr>
          <w:rFonts w:hint="default" w:ascii="仿宋_GB2312" w:hAnsi="仿宋_GB2312" w:eastAsia="仿宋_GB2312" w:cs="仿宋_GB2312"/>
          <w:color w:val="000000"/>
          <w:kern w:val="0"/>
          <w:sz w:val="27"/>
          <w:szCs w:val="27"/>
          <w:lang w:val="en-US" w:eastAsia="zh-CN"/>
        </w:rPr>
        <w:t xml:space="preserve">承担自然灾害和突发公共卫生事件医疗救洽工作。 </w:t>
      </w:r>
    </w:p>
    <w:p>
      <w:pPr>
        <w:widowControl/>
        <w:spacing w:before="240" w:after="24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11、</w:t>
      </w:r>
      <w:r>
        <w:rPr>
          <w:rFonts w:hint="default" w:ascii="仿宋_GB2312" w:hAnsi="仿宋_GB2312" w:eastAsia="仿宋_GB2312" w:cs="仿宋_GB2312"/>
          <w:color w:val="000000"/>
          <w:kern w:val="0"/>
          <w:sz w:val="27"/>
          <w:szCs w:val="27"/>
          <w:lang w:val="en-US" w:eastAsia="zh-CN"/>
        </w:rPr>
        <w:t>承担全市公立医院综合改革试点任务。</w:t>
      </w:r>
    </w:p>
    <w:p>
      <w:pPr>
        <w:widowControl/>
        <w:spacing w:before="240" w:after="24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12、</w:t>
      </w:r>
      <w:r>
        <w:rPr>
          <w:rFonts w:hint="default" w:ascii="仿宋_GB2312" w:hAnsi="仿宋_GB2312" w:eastAsia="仿宋_GB2312" w:cs="仿宋_GB2312"/>
          <w:color w:val="000000"/>
          <w:kern w:val="0"/>
          <w:sz w:val="27"/>
          <w:szCs w:val="27"/>
          <w:lang w:val="en-US" w:eastAsia="zh-CN"/>
        </w:rPr>
        <w:t xml:space="preserve">承担各级政府交办的其他工作。 </w:t>
      </w:r>
    </w:p>
    <w:p>
      <w:pPr>
        <w:widowControl/>
        <w:spacing w:before="240" w:after="240"/>
        <w:rPr>
          <w:rFonts w:hint="eastAsia"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13</w:t>
      </w:r>
      <w:r>
        <w:rPr>
          <w:rFonts w:hint="default" w:ascii="仿宋_GB2312" w:hAnsi="仿宋_GB2312" w:eastAsia="仿宋_GB2312" w:cs="仿宋_GB2312"/>
          <w:color w:val="000000"/>
          <w:kern w:val="0"/>
          <w:sz w:val="27"/>
          <w:szCs w:val="27"/>
          <w:lang w:val="en-US" w:eastAsia="zh-CN"/>
        </w:rPr>
        <w:t>、医院接受上级党组织和市政府有关部门的业务指导和监督管理。</w:t>
      </w:r>
      <w:r>
        <w:rPr>
          <w:rFonts w:hint="eastAsia" w:ascii="仿宋_GB2312" w:hAnsi="仿宋_GB2312" w:eastAsia="仿宋_GB2312" w:cs="仿宋_GB2312"/>
          <w:color w:val="000000"/>
          <w:kern w:val="0"/>
          <w:sz w:val="27"/>
          <w:szCs w:val="27"/>
          <w:lang w:val="en-US" w:eastAsia="zh-CN"/>
        </w:rPr>
        <w:t xml:space="preserve">   </w:t>
      </w:r>
    </w:p>
    <w:p>
      <w:pPr>
        <w:numPr>
          <w:ilvl w:val="0"/>
          <w:numId w:val="0"/>
        </w:numPr>
        <w:spacing w:line="600" w:lineRule="exact"/>
        <w:jc w:val="both"/>
        <w:rPr>
          <w:rFonts w:hint="default" w:ascii="Times New Roman" w:hAnsi="Times New Roman" w:eastAsia="黑体"/>
          <w:b/>
          <w:kern w:val="2"/>
          <w:sz w:val="32"/>
        </w:rPr>
      </w:pPr>
      <w:r>
        <w:rPr>
          <w:rFonts w:ascii="黑体" w:hAnsi="Times New Roman" w:eastAsia="黑体"/>
          <w:b/>
          <w:kern w:val="2"/>
          <w:sz w:val="32"/>
        </w:rPr>
        <w:t>二、部门（单位）机构设置及决算单位构成情况</w:t>
      </w:r>
    </w:p>
    <w:p>
      <w:pPr>
        <w:widowControl/>
        <w:spacing w:before="240" w:after="240"/>
        <w:rPr>
          <w:rFonts w:hint="default" w:ascii="仿宋_GB2312" w:hAnsi="仿宋_GB2312" w:eastAsia="仿宋_GB2312" w:cs="仿宋_GB2312"/>
          <w:color w:val="000000"/>
          <w:kern w:val="0"/>
          <w:sz w:val="27"/>
          <w:szCs w:val="27"/>
          <w:lang w:val="en-US" w:eastAsia="zh-CN"/>
        </w:rPr>
      </w:pPr>
      <w:r>
        <w:rPr>
          <w:rFonts w:hint="default" w:ascii="仿宋_GB2312" w:hAnsi="仿宋_GB2312" w:eastAsia="仿宋_GB2312" w:cs="仿宋_GB2312"/>
          <w:color w:val="000000"/>
          <w:kern w:val="0"/>
          <w:sz w:val="27"/>
          <w:szCs w:val="27"/>
          <w:lang w:val="en-US" w:eastAsia="zh-CN"/>
        </w:rPr>
        <w:t>1.</w:t>
      </w:r>
      <w:r>
        <w:rPr>
          <w:rFonts w:hint="eastAsia" w:ascii="仿宋_GB2312" w:hAnsi="仿宋_GB2312" w:eastAsia="仿宋_GB2312" w:cs="仿宋_GB2312"/>
          <w:color w:val="000000"/>
          <w:kern w:val="0"/>
          <w:sz w:val="27"/>
          <w:szCs w:val="27"/>
          <w:lang w:val="en-US" w:eastAsia="zh-CN"/>
        </w:rPr>
        <w:t>根据部门（单位）职责分工，本部门（单位）内设机构包括临床科室，医技科室，医辅科室和行政科室。本部门（单位）无下属单位。</w:t>
      </w:r>
    </w:p>
    <w:p>
      <w:pPr>
        <w:widowControl/>
        <w:spacing w:before="240" w:after="240"/>
        <w:rPr>
          <w:rFonts w:hint="default" w:ascii="仿宋_GB2312" w:hAnsi="仿宋_GB2312" w:eastAsia="仿宋_GB2312" w:cs="仿宋_GB2312"/>
          <w:color w:val="000000"/>
          <w:kern w:val="0"/>
          <w:sz w:val="27"/>
          <w:szCs w:val="27"/>
          <w:lang w:val="en-US" w:eastAsia="zh-CN"/>
        </w:rPr>
      </w:pPr>
      <w:r>
        <w:rPr>
          <w:rFonts w:hint="default" w:ascii="仿宋_GB2312" w:hAnsi="仿宋_GB2312" w:eastAsia="仿宋_GB2312" w:cs="仿宋_GB2312"/>
          <w:color w:val="000000"/>
          <w:kern w:val="0"/>
          <w:sz w:val="27"/>
          <w:szCs w:val="27"/>
          <w:lang w:val="en-US" w:eastAsia="zh-CN"/>
        </w:rPr>
        <w:t>2.</w:t>
      </w:r>
      <w:r>
        <w:rPr>
          <w:rFonts w:hint="eastAsia" w:ascii="仿宋_GB2312" w:hAnsi="仿宋_GB2312" w:eastAsia="仿宋_GB2312" w:cs="仿宋_GB2312"/>
          <w:color w:val="000000"/>
          <w:kern w:val="0"/>
          <w:sz w:val="27"/>
          <w:szCs w:val="27"/>
          <w:lang w:val="en-US" w:eastAsia="zh-CN"/>
        </w:rPr>
        <w:t>从决算单位构成看，纳入本部门（单位）决算编制范围的预算单位共计1家，具体包括：巴彦淖尔市医院部门本级。详细情况见表：</w:t>
      </w:r>
    </w:p>
    <w:tbl>
      <w:tblPr>
        <w:tblStyle w:val="1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9"/>
        <w:gridCol w:w="2963"/>
        <w:gridCol w:w="46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6" w:space="0"/>
              <w:left w:val="single" w:color="auto" w:sz="6" w:space="0"/>
              <w:bottom w:val="single" w:color="auto" w:sz="6" w:space="0"/>
              <w:right w:val="single" w:color="auto" w:sz="6" w:space="0"/>
            </w:tcBorders>
            <w:noWrap w:val="0"/>
            <w:vAlign w:val="top"/>
          </w:tcPr>
          <w:p>
            <w:pPr>
              <w:widowControl/>
              <w:spacing w:before="240" w:after="24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序号</w:t>
            </w:r>
          </w:p>
        </w:tc>
        <w:tc>
          <w:tcPr>
            <w:tcW w:w="2963" w:type="dxa"/>
            <w:tcBorders>
              <w:top w:val="single" w:color="auto" w:sz="6" w:space="0"/>
              <w:left w:val="single" w:color="auto" w:sz="6" w:space="0"/>
              <w:bottom w:val="single" w:color="auto" w:sz="6" w:space="0"/>
              <w:right w:val="single" w:color="auto" w:sz="6" w:space="0"/>
            </w:tcBorders>
            <w:noWrap w:val="0"/>
            <w:vAlign w:val="top"/>
          </w:tcPr>
          <w:p>
            <w:pPr>
              <w:widowControl/>
              <w:spacing w:before="240" w:after="24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单位名称</w:t>
            </w:r>
          </w:p>
        </w:tc>
        <w:tc>
          <w:tcPr>
            <w:tcW w:w="4600" w:type="dxa"/>
            <w:tcBorders>
              <w:top w:val="single" w:color="auto" w:sz="6" w:space="0"/>
              <w:left w:val="single" w:color="auto" w:sz="6" w:space="0"/>
              <w:bottom w:val="single" w:color="auto" w:sz="6" w:space="0"/>
              <w:right w:val="single" w:color="auto" w:sz="6" w:space="0"/>
            </w:tcBorders>
            <w:noWrap w:val="0"/>
            <w:vAlign w:val="top"/>
          </w:tcPr>
          <w:p>
            <w:pPr>
              <w:widowControl/>
              <w:spacing w:before="240" w:after="24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单位性质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59" w:type="dxa"/>
            <w:tcBorders>
              <w:top w:val="single" w:color="auto" w:sz="6" w:space="0"/>
              <w:left w:val="single" w:color="auto" w:sz="6" w:space="0"/>
              <w:bottom w:val="single" w:color="auto" w:sz="6" w:space="0"/>
              <w:right w:val="single" w:color="auto" w:sz="6" w:space="0"/>
            </w:tcBorders>
            <w:noWrap w:val="0"/>
            <w:vAlign w:val="top"/>
          </w:tcPr>
          <w:p>
            <w:pPr>
              <w:widowControl/>
              <w:spacing w:before="240" w:after="240"/>
              <w:rPr>
                <w:rFonts w:hint="eastAsia"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1</w:t>
            </w:r>
          </w:p>
        </w:tc>
        <w:tc>
          <w:tcPr>
            <w:tcW w:w="2963" w:type="dxa"/>
            <w:tcBorders>
              <w:top w:val="single" w:color="auto" w:sz="6" w:space="0"/>
              <w:left w:val="single" w:color="auto" w:sz="6" w:space="0"/>
              <w:bottom w:val="single" w:color="auto" w:sz="6" w:space="0"/>
              <w:right w:val="single" w:color="auto" w:sz="6" w:space="0"/>
            </w:tcBorders>
            <w:noWrap w:val="0"/>
            <w:vAlign w:val="top"/>
          </w:tcPr>
          <w:p>
            <w:pPr>
              <w:widowControl/>
              <w:spacing w:before="240" w:after="24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巴彦淖尔市医院</w:t>
            </w:r>
          </w:p>
        </w:tc>
        <w:tc>
          <w:tcPr>
            <w:tcW w:w="4600" w:type="dxa"/>
            <w:tcBorders>
              <w:top w:val="single" w:color="auto" w:sz="6" w:space="0"/>
              <w:left w:val="single" w:color="auto" w:sz="6" w:space="0"/>
              <w:bottom w:val="single" w:color="auto" w:sz="6" w:space="0"/>
              <w:right w:val="single" w:color="auto" w:sz="6" w:space="0"/>
            </w:tcBorders>
            <w:noWrap w:val="0"/>
            <w:vAlign w:val="top"/>
          </w:tcPr>
          <w:p>
            <w:pPr>
              <w:widowControl/>
              <w:spacing w:before="240" w:after="24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公益二类事业单位</w:t>
            </w:r>
          </w:p>
        </w:tc>
      </w:tr>
    </w:tbl>
    <w:p>
      <w:pPr>
        <w:spacing w:line="600" w:lineRule="exact"/>
        <w:ind w:firstLine="643"/>
        <w:jc w:val="both"/>
        <w:rPr>
          <w:rFonts w:ascii="黑体" w:hAnsi="Times New Roman" w:eastAsia="黑体"/>
          <w:b/>
          <w:kern w:val="2"/>
          <w:sz w:val="32"/>
        </w:rPr>
      </w:pPr>
    </w:p>
    <w:p>
      <w:pPr>
        <w:spacing w:line="600" w:lineRule="exact"/>
        <w:jc w:val="both"/>
        <w:rPr>
          <w:rFonts w:hint="default" w:ascii="黑体" w:hAnsi="Times New Roman" w:eastAsia="黑体"/>
          <w:b/>
          <w:kern w:val="2"/>
          <w:sz w:val="32"/>
        </w:rPr>
      </w:pPr>
      <w:r>
        <w:rPr>
          <w:rFonts w:ascii="黑体" w:hAnsi="Times New Roman" w:eastAsia="黑体"/>
          <w:b/>
          <w:kern w:val="2"/>
          <w:sz w:val="32"/>
        </w:rPr>
        <w:t>三、</w:t>
      </w:r>
      <w:r>
        <w:rPr>
          <w:rFonts w:ascii="Times New Roman" w:hAnsi="Times New Roman" w:eastAsia="黑体"/>
          <w:b/>
          <w:kern w:val="2"/>
          <w:sz w:val="32"/>
        </w:rPr>
        <w:t>2024年度</w:t>
      </w:r>
      <w:r>
        <w:rPr>
          <w:rFonts w:ascii="黑体" w:hAnsi="Times New Roman" w:eastAsia="黑体"/>
          <w:b/>
          <w:kern w:val="2"/>
          <w:sz w:val="32"/>
        </w:rPr>
        <w:t>部门（单位）主要工作完成情况</w:t>
      </w:r>
    </w:p>
    <w:p>
      <w:pPr>
        <w:pStyle w:val="3"/>
        <w:keepNext/>
        <w:keepLines/>
        <w:tabs>
          <w:tab w:val="left" w:pos="4392"/>
        </w:tabs>
        <w:spacing w:line="360" w:lineRule="auto"/>
        <w:jc w:val="center"/>
        <w:rPr>
          <w:rFonts w:hint="default" w:ascii="方正小标宋简体" w:hAnsi="Times New Roman" w:eastAsia="方正小标宋简体"/>
          <w:kern w:val="2"/>
          <w:sz w:val="36"/>
        </w:rPr>
      </w:pPr>
      <w:r>
        <w:rPr>
          <w:rFonts w:ascii="方正小标宋简体" w:hAnsi="Times New Roman" w:eastAsia="方正小标宋简体"/>
          <w:kern w:val="2"/>
          <w:sz w:val="36"/>
        </w:rPr>
        <w:t>第一部分  部门（单位）概况</w:t>
      </w:r>
    </w:p>
    <w:p>
      <w:pPr>
        <w:spacing w:line="600" w:lineRule="exact"/>
        <w:jc w:val="both"/>
        <w:rPr>
          <w:rFonts w:hint="default" w:ascii="Times New Roman" w:hAnsi="Times New Roman" w:eastAsia="黑体"/>
          <w:b/>
          <w:kern w:val="2"/>
          <w:sz w:val="32"/>
        </w:rPr>
      </w:pPr>
      <w:r>
        <w:rPr>
          <w:rFonts w:ascii="黑体" w:hAnsi="Times New Roman" w:eastAsia="黑体"/>
          <w:b/>
          <w:kern w:val="2"/>
          <w:sz w:val="32"/>
        </w:rPr>
        <w:t>一、主要职能、职责</w:t>
      </w:r>
    </w:p>
    <w:p>
      <w:pPr>
        <w:widowControl/>
        <w:spacing w:before="240" w:after="240"/>
        <w:ind w:firstLine="540" w:firstLineChars="200"/>
        <w:rPr>
          <w:rFonts w:hint="eastAsia" w:ascii="仿宋_GB2312" w:hAnsi="仿宋_GB2312" w:eastAsia="仿宋_GB2312" w:cs="仿宋_GB2312"/>
          <w:color w:val="000000"/>
          <w:kern w:val="0"/>
          <w:sz w:val="27"/>
          <w:szCs w:val="27"/>
          <w:lang w:val="en-US" w:eastAsia="zh-CN"/>
        </w:rPr>
      </w:pPr>
      <w:r>
        <w:rPr>
          <w:rFonts w:hint="default" w:ascii="仿宋_GB2312" w:hAnsi="仿宋_GB2312" w:eastAsia="仿宋_GB2312" w:cs="仿宋_GB2312"/>
          <w:color w:val="000000"/>
          <w:kern w:val="0"/>
          <w:sz w:val="27"/>
          <w:szCs w:val="27"/>
          <w:lang w:val="en-US" w:eastAsia="zh-CN"/>
        </w:rPr>
        <w:t xml:space="preserve">巴彦淖尔市医院是跨区域提供医疗卫生服务,具有医疗、教学、科 研、预防、康复、健康管理及公共卫生服务的医疗机构。主要职责有： </w:t>
      </w:r>
      <w:r>
        <w:rPr>
          <w:rFonts w:hint="eastAsia" w:ascii="仿宋_GB2312" w:hAnsi="仿宋_GB2312" w:eastAsia="仿宋_GB2312" w:cs="仿宋_GB2312"/>
          <w:color w:val="000000"/>
          <w:kern w:val="0"/>
          <w:sz w:val="27"/>
          <w:szCs w:val="27"/>
          <w:lang w:val="en-US" w:eastAsia="zh-CN"/>
        </w:rPr>
        <w:t xml:space="preserve">     </w:t>
      </w:r>
    </w:p>
    <w:p>
      <w:pPr>
        <w:widowControl/>
        <w:spacing w:before="240" w:after="240"/>
        <w:ind w:firstLine="540" w:firstLineChars="200"/>
        <w:rPr>
          <w:rFonts w:hint="default" w:ascii="仿宋_GB2312" w:hAnsi="仿宋_GB2312" w:eastAsia="仿宋_GB2312" w:cs="仿宋_GB2312"/>
          <w:color w:val="000000"/>
          <w:kern w:val="0"/>
          <w:sz w:val="27"/>
          <w:szCs w:val="27"/>
          <w:lang w:val="en-US" w:eastAsia="zh-CN"/>
        </w:rPr>
      </w:pPr>
      <w:r>
        <w:rPr>
          <w:rFonts w:hint="default" w:ascii="仿宋_GB2312" w:hAnsi="仿宋_GB2312" w:eastAsia="仿宋_GB2312" w:cs="仿宋_GB2312"/>
          <w:color w:val="000000"/>
          <w:kern w:val="0"/>
          <w:sz w:val="27"/>
          <w:szCs w:val="27"/>
          <w:lang w:val="en-US" w:eastAsia="zh-CN"/>
        </w:rPr>
        <w:t xml:space="preserve">1、提供专科(包括特殊专科)医疗服务。 </w:t>
      </w:r>
    </w:p>
    <w:p>
      <w:pPr>
        <w:widowControl/>
        <w:spacing w:before="240" w:after="240"/>
        <w:ind w:firstLine="540" w:firstLineChars="20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2、</w:t>
      </w:r>
      <w:r>
        <w:rPr>
          <w:rFonts w:hint="default" w:ascii="仿宋_GB2312" w:hAnsi="仿宋_GB2312" w:eastAsia="仿宋_GB2312" w:cs="仿宋_GB2312"/>
          <w:color w:val="000000"/>
          <w:kern w:val="0"/>
          <w:sz w:val="27"/>
          <w:szCs w:val="27"/>
          <w:lang w:val="en-US" w:eastAsia="zh-CN"/>
        </w:rPr>
        <w:t xml:space="preserve">解决急危重症和疑难复杂疾病诊洽。 </w:t>
      </w:r>
    </w:p>
    <w:p>
      <w:pPr>
        <w:widowControl/>
        <w:spacing w:before="240" w:after="240"/>
        <w:ind w:firstLine="540" w:firstLineChars="20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3、</w:t>
      </w:r>
      <w:r>
        <w:rPr>
          <w:rFonts w:hint="default" w:ascii="仿宋_GB2312" w:hAnsi="仿宋_GB2312" w:eastAsia="仿宋_GB2312" w:cs="仿宋_GB2312"/>
          <w:color w:val="000000"/>
          <w:kern w:val="0"/>
          <w:sz w:val="27"/>
          <w:szCs w:val="27"/>
          <w:lang w:val="en-US" w:eastAsia="zh-CN"/>
        </w:rPr>
        <w:t>实行分级诊疗和双向转诊制度。</w:t>
      </w:r>
    </w:p>
    <w:p>
      <w:pPr>
        <w:widowControl/>
        <w:spacing w:before="240" w:after="240"/>
        <w:ind w:firstLine="540" w:firstLineChars="20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4、</w:t>
      </w:r>
      <w:r>
        <w:rPr>
          <w:rFonts w:hint="default" w:ascii="仿宋_GB2312" w:hAnsi="仿宋_GB2312" w:eastAsia="仿宋_GB2312" w:cs="仿宋_GB2312"/>
          <w:color w:val="000000"/>
          <w:kern w:val="0"/>
          <w:sz w:val="27"/>
          <w:szCs w:val="27"/>
          <w:lang w:val="en-US" w:eastAsia="zh-CN"/>
        </w:rPr>
        <w:t>对下级医院进行业务技术指导和人才培养。</w:t>
      </w:r>
    </w:p>
    <w:p>
      <w:pPr>
        <w:widowControl/>
        <w:spacing w:before="240" w:after="240"/>
        <w:ind w:firstLine="540" w:firstLineChars="20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5、</w:t>
      </w:r>
      <w:r>
        <w:rPr>
          <w:rFonts w:hint="default" w:ascii="仿宋_GB2312" w:hAnsi="仿宋_GB2312" w:eastAsia="仿宋_GB2312" w:cs="仿宋_GB2312"/>
          <w:color w:val="000000"/>
          <w:kern w:val="0"/>
          <w:sz w:val="27"/>
          <w:szCs w:val="27"/>
          <w:lang w:val="en-US" w:eastAsia="zh-CN"/>
        </w:rPr>
        <w:t xml:space="preserve">承担医联体建设相关工作。 </w:t>
      </w:r>
    </w:p>
    <w:p>
      <w:pPr>
        <w:widowControl/>
        <w:spacing w:before="240" w:after="240"/>
        <w:ind w:firstLine="540" w:firstLineChars="20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6、</w:t>
      </w:r>
      <w:r>
        <w:rPr>
          <w:rFonts w:hint="default" w:ascii="仿宋_GB2312" w:hAnsi="仿宋_GB2312" w:eastAsia="仿宋_GB2312" w:cs="仿宋_GB2312"/>
          <w:color w:val="000000"/>
          <w:kern w:val="0"/>
          <w:sz w:val="27"/>
          <w:szCs w:val="27"/>
          <w:lang w:val="en-US" w:eastAsia="zh-CN"/>
        </w:rPr>
        <w:t>承担培养各种医学专业人才特别是高级专业人才的5 教学任务。</w:t>
      </w:r>
    </w:p>
    <w:p>
      <w:pPr>
        <w:widowControl/>
        <w:spacing w:before="240" w:after="240"/>
        <w:ind w:firstLine="540" w:firstLineChars="20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7、</w:t>
      </w:r>
      <w:r>
        <w:rPr>
          <w:rFonts w:hint="default" w:ascii="仿宋_GB2312" w:hAnsi="仿宋_GB2312" w:eastAsia="仿宋_GB2312" w:cs="仿宋_GB2312"/>
          <w:color w:val="000000"/>
          <w:kern w:val="0"/>
          <w:sz w:val="27"/>
          <w:szCs w:val="27"/>
          <w:lang w:val="en-US" w:eastAsia="zh-CN"/>
        </w:rPr>
        <w:t xml:space="preserve">承担市级及以上科研课题。 </w:t>
      </w:r>
    </w:p>
    <w:p>
      <w:pPr>
        <w:widowControl/>
        <w:spacing w:before="240" w:after="240"/>
        <w:ind w:firstLine="540" w:firstLineChars="20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8、</w:t>
      </w:r>
      <w:r>
        <w:rPr>
          <w:rFonts w:hint="default" w:ascii="仿宋_GB2312" w:hAnsi="仿宋_GB2312" w:eastAsia="仿宋_GB2312" w:cs="仿宋_GB2312"/>
          <w:color w:val="000000"/>
          <w:kern w:val="0"/>
          <w:sz w:val="27"/>
          <w:szCs w:val="27"/>
          <w:lang w:val="en-US" w:eastAsia="zh-CN"/>
        </w:rPr>
        <w:t>参与和指导一、二级预防工作。</w:t>
      </w:r>
    </w:p>
    <w:p>
      <w:pPr>
        <w:widowControl/>
        <w:spacing w:before="240" w:after="240"/>
        <w:ind w:firstLine="540" w:firstLineChars="20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9、</w:t>
      </w:r>
      <w:r>
        <w:rPr>
          <w:rFonts w:hint="default" w:ascii="仿宋_GB2312" w:hAnsi="仿宋_GB2312" w:eastAsia="仿宋_GB2312" w:cs="仿宋_GB2312"/>
          <w:color w:val="000000"/>
          <w:kern w:val="0"/>
          <w:sz w:val="27"/>
          <w:szCs w:val="27"/>
          <w:lang w:val="en-US" w:eastAsia="zh-CN"/>
        </w:rPr>
        <w:t xml:space="preserve">承担健康管理工作。 </w:t>
      </w:r>
    </w:p>
    <w:p>
      <w:pPr>
        <w:widowControl/>
        <w:spacing w:before="240" w:after="240"/>
        <w:ind w:firstLine="540" w:firstLineChars="20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10、</w:t>
      </w:r>
      <w:r>
        <w:rPr>
          <w:rFonts w:hint="default" w:ascii="仿宋_GB2312" w:hAnsi="仿宋_GB2312" w:eastAsia="仿宋_GB2312" w:cs="仿宋_GB2312"/>
          <w:color w:val="000000"/>
          <w:kern w:val="0"/>
          <w:sz w:val="27"/>
          <w:szCs w:val="27"/>
          <w:lang w:val="en-US" w:eastAsia="zh-CN"/>
        </w:rPr>
        <w:t xml:space="preserve">承担自然灾害和突发公共卫生事件医疗救洽工作。 </w:t>
      </w:r>
    </w:p>
    <w:p>
      <w:pPr>
        <w:widowControl/>
        <w:spacing w:before="240" w:after="240"/>
        <w:ind w:firstLine="540" w:firstLineChars="20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11、</w:t>
      </w:r>
      <w:r>
        <w:rPr>
          <w:rFonts w:hint="default" w:ascii="仿宋_GB2312" w:hAnsi="仿宋_GB2312" w:eastAsia="仿宋_GB2312" w:cs="仿宋_GB2312"/>
          <w:color w:val="000000"/>
          <w:kern w:val="0"/>
          <w:sz w:val="27"/>
          <w:szCs w:val="27"/>
          <w:lang w:val="en-US" w:eastAsia="zh-CN"/>
        </w:rPr>
        <w:t>承担全市公立医院综合改革试点任务。</w:t>
      </w:r>
    </w:p>
    <w:p>
      <w:pPr>
        <w:widowControl/>
        <w:spacing w:before="240" w:after="240"/>
        <w:ind w:firstLine="540" w:firstLineChars="20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12、</w:t>
      </w:r>
      <w:r>
        <w:rPr>
          <w:rFonts w:hint="default" w:ascii="仿宋_GB2312" w:hAnsi="仿宋_GB2312" w:eastAsia="仿宋_GB2312" w:cs="仿宋_GB2312"/>
          <w:color w:val="000000"/>
          <w:kern w:val="0"/>
          <w:sz w:val="27"/>
          <w:szCs w:val="27"/>
          <w:lang w:val="en-US" w:eastAsia="zh-CN"/>
        </w:rPr>
        <w:t xml:space="preserve">承担各级政府交办的其他工作。 </w:t>
      </w:r>
    </w:p>
    <w:p>
      <w:pPr>
        <w:widowControl/>
        <w:spacing w:before="240" w:after="240"/>
        <w:ind w:firstLine="540" w:firstLineChars="200"/>
        <w:rPr>
          <w:rFonts w:hint="eastAsia"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13</w:t>
      </w:r>
      <w:r>
        <w:rPr>
          <w:rFonts w:hint="default" w:ascii="仿宋_GB2312" w:hAnsi="仿宋_GB2312" w:eastAsia="仿宋_GB2312" w:cs="仿宋_GB2312"/>
          <w:color w:val="000000"/>
          <w:kern w:val="0"/>
          <w:sz w:val="27"/>
          <w:szCs w:val="27"/>
          <w:lang w:val="en-US" w:eastAsia="zh-CN"/>
        </w:rPr>
        <w:t>、医院接受上级党组织和市政府有关部门的业务指导和监督管理。</w:t>
      </w:r>
      <w:r>
        <w:rPr>
          <w:rFonts w:hint="eastAsia" w:ascii="仿宋_GB2312" w:hAnsi="仿宋_GB2312" w:eastAsia="仿宋_GB2312" w:cs="仿宋_GB2312"/>
          <w:color w:val="000000"/>
          <w:kern w:val="0"/>
          <w:sz w:val="27"/>
          <w:szCs w:val="27"/>
          <w:lang w:val="en-US" w:eastAsia="zh-CN"/>
        </w:rPr>
        <w:t xml:space="preserve">   </w:t>
      </w:r>
    </w:p>
    <w:p>
      <w:pPr>
        <w:numPr>
          <w:ilvl w:val="0"/>
          <w:numId w:val="0"/>
        </w:numPr>
        <w:spacing w:line="600" w:lineRule="exact"/>
        <w:jc w:val="both"/>
        <w:rPr>
          <w:rFonts w:hint="default" w:ascii="Times New Roman" w:hAnsi="Times New Roman" w:eastAsia="黑体"/>
          <w:b/>
          <w:kern w:val="2"/>
          <w:sz w:val="32"/>
        </w:rPr>
      </w:pPr>
      <w:r>
        <w:rPr>
          <w:rFonts w:ascii="黑体" w:hAnsi="Times New Roman" w:eastAsia="黑体"/>
          <w:b/>
          <w:kern w:val="2"/>
          <w:sz w:val="32"/>
        </w:rPr>
        <w:t>二、部门（单位）机构设置及决算单位构成情况</w:t>
      </w:r>
    </w:p>
    <w:p>
      <w:pPr>
        <w:widowControl/>
        <w:spacing w:before="240" w:after="240"/>
        <w:ind w:firstLine="540" w:firstLineChars="200"/>
        <w:rPr>
          <w:rFonts w:hint="default" w:ascii="仿宋_GB2312" w:hAnsi="仿宋_GB2312" w:eastAsia="仿宋_GB2312" w:cs="仿宋_GB2312"/>
          <w:color w:val="000000"/>
          <w:kern w:val="0"/>
          <w:sz w:val="27"/>
          <w:szCs w:val="27"/>
          <w:lang w:val="en-US" w:eastAsia="zh-CN"/>
        </w:rPr>
      </w:pPr>
      <w:r>
        <w:rPr>
          <w:rFonts w:hint="default" w:ascii="仿宋_GB2312" w:hAnsi="仿宋_GB2312" w:eastAsia="仿宋_GB2312" w:cs="仿宋_GB2312"/>
          <w:color w:val="000000"/>
          <w:kern w:val="0"/>
          <w:sz w:val="27"/>
          <w:szCs w:val="27"/>
          <w:lang w:val="en-US" w:eastAsia="zh-CN"/>
        </w:rPr>
        <w:t>1.根据部门（单位）职责分工，本部门（单位）内设机构包括临床科室，医技科室，医辅科室和行政科室。本部门（单位）</w:t>
      </w:r>
      <w:r>
        <w:rPr>
          <w:rFonts w:hint="eastAsia" w:ascii="仿宋_GB2312" w:hAnsi="仿宋_GB2312" w:eastAsia="仿宋_GB2312" w:cs="仿宋_GB2312"/>
          <w:color w:val="000000"/>
          <w:kern w:val="0"/>
          <w:sz w:val="27"/>
          <w:szCs w:val="27"/>
          <w:lang w:val="en-US" w:eastAsia="zh-CN"/>
        </w:rPr>
        <w:t>无</w:t>
      </w:r>
      <w:r>
        <w:rPr>
          <w:rFonts w:hint="default" w:ascii="仿宋_GB2312" w:hAnsi="仿宋_GB2312" w:eastAsia="仿宋_GB2312" w:cs="仿宋_GB2312"/>
          <w:color w:val="000000"/>
          <w:kern w:val="0"/>
          <w:sz w:val="27"/>
          <w:szCs w:val="27"/>
          <w:lang w:val="en-US" w:eastAsia="zh-CN"/>
        </w:rPr>
        <w:t>下属单位。</w:t>
      </w:r>
    </w:p>
    <w:p>
      <w:pPr>
        <w:widowControl/>
        <w:spacing w:before="240" w:after="240"/>
        <w:ind w:firstLine="540" w:firstLineChars="200"/>
        <w:rPr>
          <w:rFonts w:hint="default" w:ascii="仿宋_GB2312" w:hAnsi="仿宋_GB2312" w:eastAsia="仿宋_GB2312" w:cs="仿宋_GB2312"/>
          <w:color w:val="000000"/>
          <w:kern w:val="0"/>
          <w:sz w:val="27"/>
          <w:szCs w:val="27"/>
          <w:lang w:val="en-US" w:eastAsia="zh-CN"/>
        </w:rPr>
      </w:pPr>
      <w:r>
        <w:rPr>
          <w:rFonts w:hint="default" w:ascii="仿宋_GB2312" w:hAnsi="仿宋_GB2312" w:eastAsia="仿宋_GB2312" w:cs="仿宋_GB2312"/>
          <w:color w:val="000000"/>
          <w:kern w:val="0"/>
          <w:sz w:val="27"/>
          <w:szCs w:val="27"/>
          <w:lang w:val="en-US" w:eastAsia="zh-CN"/>
        </w:rPr>
        <w:t>2.从决算单位构成看，纳入本部门（单位）决算编制范围的预算单位共计</w:t>
      </w:r>
      <w:r>
        <w:rPr>
          <w:rFonts w:hint="eastAsia" w:ascii="仿宋_GB2312" w:hAnsi="仿宋_GB2312" w:eastAsia="仿宋_GB2312" w:cs="仿宋_GB2312"/>
          <w:color w:val="000000"/>
          <w:kern w:val="0"/>
          <w:sz w:val="27"/>
          <w:szCs w:val="27"/>
          <w:lang w:val="en-US" w:eastAsia="zh-CN"/>
        </w:rPr>
        <w:t>1</w:t>
      </w:r>
      <w:r>
        <w:rPr>
          <w:rFonts w:hint="default" w:ascii="仿宋_GB2312" w:hAnsi="仿宋_GB2312" w:eastAsia="仿宋_GB2312" w:cs="仿宋_GB2312"/>
          <w:color w:val="000000"/>
          <w:kern w:val="0"/>
          <w:sz w:val="27"/>
          <w:szCs w:val="27"/>
          <w:lang w:val="en-US" w:eastAsia="zh-CN"/>
        </w:rPr>
        <w:t>家，具体包括：</w:t>
      </w:r>
      <w:r>
        <w:rPr>
          <w:rFonts w:hint="eastAsia" w:ascii="仿宋_GB2312" w:hAnsi="仿宋_GB2312" w:eastAsia="仿宋_GB2312" w:cs="仿宋_GB2312"/>
          <w:color w:val="000000"/>
          <w:kern w:val="0"/>
          <w:sz w:val="27"/>
          <w:szCs w:val="27"/>
          <w:lang w:val="en-US" w:eastAsia="zh-CN"/>
        </w:rPr>
        <w:t>巴彦淖尔市医院</w:t>
      </w:r>
      <w:r>
        <w:rPr>
          <w:rFonts w:hint="default" w:ascii="仿宋_GB2312" w:hAnsi="仿宋_GB2312" w:eastAsia="仿宋_GB2312" w:cs="仿宋_GB2312"/>
          <w:color w:val="000000"/>
          <w:kern w:val="0"/>
          <w:sz w:val="27"/>
          <w:szCs w:val="27"/>
          <w:lang w:val="en-US" w:eastAsia="zh-CN"/>
        </w:rPr>
        <w:t>部门本级。详细情况见表：</w:t>
      </w:r>
    </w:p>
    <w:tbl>
      <w:tblPr>
        <w:tblStyle w:val="18"/>
        <w:tblW w:w="99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80" w:type="dxa"/>
          <w:left w:w="128" w:type="dxa"/>
          <w:bottom w:w="80" w:type="dxa"/>
          <w:right w:w="128" w:type="dxa"/>
        </w:tblCellMar>
      </w:tblPr>
      <w:tblGrid>
        <w:gridCol w:w="1822"/>
        <w:gridCol w:w="3852"/>
        <w:gridCol w:w="428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80" w:type="dxa"/>
            <w:left w:w="128" w:type="dxa"/>
            <w:bottom w:w="80" w:type="dxa"/>
            <w:right w:w="128" w:type="dxa"/>
          </w:tblCellMar>
        </w:tblPrEx>
        <w:trPr>
          <w:trHeight w:val="0" w:hRule="atLeast"/>
          <w:tblHeader/>
          <w:jc w:val="center"/>
        </w:trPr>
        <w:tc>
          <w:tcPr>
            <w:tcW w:w="1822" w:type="dxa"/>
            <w:tcBorders>
              <w:top w:val="single" w:color="auto" w:sz="6" w:space="0"/>
              <w:left w:val="single" w:color="auto" w:sz="6" w:space="0"/>
              <w:bottom w:val="single" w:color="auto" w:sz="6" w:space="0"/>
              <w:right w:val="single" w:color="auto" w:sz="6" w:space="0"/>
            </w:tcBorders>
            <w:noWrap w:val="0"/>
            <w:vAlign w:val="center"/>
          </w:tcPr>
          <w:p>
            <w:pPr>
              <w:widowControl/>
              <w:snapToGrid w:val="0"/>
              <w:spacing w:before="240" w:after="240"/>
              <w:ind w:firstLine="542" w:firstLineChars="200"/>
              <w:jc w:val="center"/>
              <w:rPr>
                <w:rFonts w:hint="default" w:ascii="仿宋_GB2312" w:hAnsi="仿宋_GB2312" w:eastAsia="仿宋_GB2312" w:cs="仿宋_GB2312"/>
                <w:b/>
                <w:color w:val="000000"/>
                <w:kern w:val="0"/>
                <w:sz w:val="27"/>
                <w:szCs w:val="27"/>
                <w:lang w:val="en-US" w:eastAsia="zh-CN"/>
              </w:rPr>
            </w:pPr>
            <w:r>
              <w:rPr>
                <w:rFonts w:hint="eastAsia" w:ascii="仿宋_GB2312" w:hAnsi="仿宋_GB2312" w:eastAsia="仿宋_GB2312" w:cs="仿宋_GB2312"/>
                <w:b/>
                <w:color w:val="000000"/>
                <w:kern w:val="0"/>
                <w:sz w:val="27"/>
                <w:szCs w:val="27"/>
                <w:lang w:val="en-US" w:eastAsia="zh-CN"/>
              </w:rPr>
              <w:t>序号</w:t>
            </w:r>
          </w:p>
        </w:tc>
        <w:tc>
          <w:tcPr>
            <w:tcW w:w="3852" w:type="dxa"/>
            <w:tcBorders>
              <w:top w:val="single" w:color="auto" w:sz="6" w:space="0"/>
              <w:left w:val="single" w:color="auto" w:sz="6" w:space="0"/>
              <w:bottom w:val="single" w:color="auto" w:sz="6" w:space="0"/>
              <w:right w:val="single" w:color="auto" w:sz="6" w:space="0"/>
            </w:tcBorders>
            <w:noWrap w:val="0"/>
            <w:vAlign w:val="center"/>
          </w:tcPr>
          <w:p>
            <w:pPr>
              <w:widowControl/>
              <w:snapToGrid w:val="0"/>
              <w:spacing w:before="240" w:after="240"/>
              <w:ind w:firstLine="542" w:firstLineChars="200"/>
              <w:jc w:val="center"/>
              <w:rPr>
                <w:rFonts w:hint="default" w:ascii="仿宋_GB2312" w:hAnsi="仿宋_GB2312" w:eastAsia="仿宋_GB2312" w:cs="仿宋_GB2312"/>
                <w:b/>
                <w:color w:val="000000"/>
                <w:kern w:val="0"/>
                <w:sz w:val="27"/>
                <w:szCs w:val="27"/>
                <w:lang w:val="en-US" w:eastAsia="zh-CN"/>
              </w:rPr>
            </w:pPr>
            <w:r>
              <w:rPr>
                <w:rFonts w:hint="eastAsia" w:ascii="仿宋_GB2312" w:hAnsi="仿宋_GB2312" w:eastAsia="仿宋_GB2312" w:cs="仿宋_GB2312"/>
                <w:b/>
                <w:color w:val="000000"/>
                <w:kern w:val="0"/>
                <w:sz w:val="27"/>
                <w:szCs w:val="27"/>
                <w:lang w:val="en-US" w:eastAsia="zh-CN"/>
              </w:rPr>
              <w:t>单位名称</w:t>
            </w:r>
          </w:p>
        </w:tc>
        <w:tc>
          <w:tcPr>
            <w:tcW w:w="4283" w:type="dxa"/>
            <w:tcBorders>
              <w:top w:val="single" w:color="auto" w:sz="6" w:space="0"/>
              <w:left w:val="single" w:color="auto" w:sz="6" w:space="0"/>
              <w:bottom w:val="single" w:color="auto" w:sz="6" w:space="0"/>
              <w:right w:val="single" w:color="auto" w:sz="6" w:space="0"/>
            </w:tcBorders>
            <w:noWrap w:val="0"/>
            <w:vAlign w:val="center"/>
          </w:tcPr>
          <w:p>
            <w:pPr>
              <w:widowControl/>
              <w:snapToGrid w:val="0"/>
              <w:spacing w:before="240" w:after="240"/>
              <w:ind w:firstLine="542" w:firstLineChars="200"/>
              <w:jc w:val="center"/>
              <w:rPr>
                <w:rFonts w:hint="default" w:ascii="仿宋_GB2312" w:hAnsi="仿宋_GB2312" w:eastAsia="仿宋_GB2312" w:cs="仿宋_GB2312"/>
                <w:b/>
                <w:color w:val="000000"/>
                <w:kern w:val="0"/>
                <w:sz w:val="27"/>
                <w:szCs w:val="27"/>
                <w:lang w:val="en-US" w:eastAsia="zh-CN"/>
              </w:rPr>
            </w:pPr>
            <w:r>
              <w:rPr>
                <w:rFonts w:hint="eastAsia" w:ascii="仿宋_GB2312" w:hAnsi="仿宋_GB2312" w:eastAsia="仿宋_GB2312" w:cs="仿宋_GB2312"/>
                <w:b/>
                <w:color w:val="000000"/>
                <w:kern w:val="0"/>
                <w:sz w:val="27"/>
                <w:szCs w:val="27"/>
                <w:lang w:val="en-US" w:eastAsia="zh-CN"/>
              </w:rPr>
              <w:t>单位性质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80" w:type="dxa"/>
            <w:left w:w="128" w:type="dxa"/>
            <w:bottom w:w="80" w:type="dxa"/>
            <w:right w:w="128" w:type="dxa"/>
          </w:tblCellMar>
        </w:tblPrEx>
        <w:trPr>
          <w:trHeight w:val="0" w:hRule="atLeast"/>
          <w:jc w:val="center"/>
        </w:trPr>
        <w:tc>
          <w:tcPr>
            <w:tcW w:w="1822" w:type="dxa"/>
            <w:tcBorders>
              <w:top w:val="single" w:color="auto" w:sz="6" w:space="0"/>
              <w:left w:val="single" w:color="auto" w:sz="6" w:space="0"/>
              <w:bottom w:val="single" w:color="auto" w:sz="6" w:space="0"/>
              <w:right w:val="single" w:color="auto" w:sz="6" w:space="0"/>
            </w:tcBorders>
            <w:noWrap w:val="0"/>
            <w:vAlign w:val="center"/>
          </w:tcPr>
          <w:p>
            <w:pPr>
              <w:widowControl/>
              <w:snapToGrid w:val="0"/>
              <w:spacing w:before="240" w:after="240"/>
              <w:ind w:firstLine="540" w:firstLineChars="200"/>
              <w:jc w:val="center"/>
              <w:rPr>
                <w:rFonts w:hint="eastAsia"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1</w:t>
            </w:r>
          </w:p>
        </w:tc>
        <w:tc>
          <w:tcPr>
            <w:tcW w:w="3852" w:type="dxa"/>
            <w:tcBorders>
              <w:top w:val="single" w:color="auto" w:sz="6" w:space="0"/>
              <w:left w:val="single" w:color="auto" w:sz="6" w:space="0"/>
              <w:bottom w:val="single" w:color="auto" w:sz="6" w:space="0"/>
              <w:right w:val="single" w:color="auto" w:sz="6" w:space="0"/>
            </w:tcBorders>
            <w:noWrap w:val="0"/>
            <w:vAlign w:val="center"/>
          </w:tcPr>
          <w:p>
            <w:pPr>
              <w:widowControl/>
              <w:snapToGrid w:val="0"/>
              <w:spacing w:before="240" w:after="240"/>
              <w:ind w:firstLine="540" w:firstLineChars="200"/>
              <w:jc w:val="center"/>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巴彦淖尔市医院</w:t>
            </w:r>
          </w:p>
        </w:tc>
        <w:tc>
          <w:tcPr>
            <w:tcW w:w="4283" w:type="dxa"/>
            <w:tcBorders>
              <w:top w:val="single" w:color="auto" w:sz="6" w:space="0"/>
              <w:left w:val="single" w:color="auto" w:sz="6" w:space="0"/>
              <w:bottom w:val="single" w:color="auto" w:sz="6" w:space="0"/>
              <w:right w:val="single" w:color="auto" w:sz="6" w:space="0"/>
            </w:tcBorders>
            <w:noWrap w:val="0"/>
            <w:vAlign w:val="center"/>
          </w:tcPr>
          <w:p>
            <w:pPr>
              <w:widowControl/>
              <w:snapToGrid w:val="0"/>
              <w:spacing w:before="240" w:after="240"/>
              <w:ind w:firstLine="540" w:firstLineChars="200"/>
              <w:jc w:val="center"/>
              <w:rPr>
                <w:rFonts w:hint="default" w:ascii="仿宋_GB2312" w:hAnsi="仿宋_GB2312" w:eastAsia="仿宋_GB2312" w:cs="仿宋_GB2312"/>
                <w:color w:val="000000"/>
                <w:kern w:val="0"/>
                <w:sz w:val="27"/>
                <w:szCs w:val="27"/>
                <w:lang w:val="en-US" w:eastAsia="zh-CN"/>
              </w:rPr>
            </w:pPr>
            <w:r>
              <w:rPr>
                <w:rFonts w:hint="default" w:ascii="仿宋_GB2312" w:hAnsi="仿宋_GB2312" w:eastAsia="仿宋_GB2312" w:cs="仿宋_GB2312"/>
                <w:color w:val="000000"/>
                <w:kern w:val="0"/>
                <w:sz w:val="27"/>
                <w:szCs w:val="27"/>
                <w:lang w:val="en-US" w:eastAsia="zh-CN"/>
              </w:rPr>
              <w:t>公益二类事业单位</w:t>
            </w:r>
          </w:p>
        </w:tc>
      </w:tr>
    </w:tbl>
    <w:p>
      <w:pPr>
        <w:widowControl/>
        <w:spacing w:before="240" w:after="240"/>
        <w:ind w:firstLine="540" w:firstLineChars="200"/>
        <w:rPr>
          <w:rFonts w:hint="default" w:ascii="仿宋_GB2312" w:hAnsi="仿宋_GB2312" w:eastAsia="仿宋_GB2312" w:cs="仿宋_GB2312"/>
          <w:color w:val="000000"/>
          <w:kern w:val="0"/>
          <w:sz w:val="27"/>
          <w:szCs w:val="27"/>
          <w:lang w:val="en-US" w:eastAsia="zh-CN"/>
        </w:rPr>
      </w:pPr>
    </w:p>
    <w:p>
      <w:pPr>
        <w:spacing w:line="600" w:lineRule="exact"/>
        <w:jc w:val="both"/>
        <w:rPr>
          <w:rFonts w:hint="default" w:ascii="黑体" w:hAnsi="Times New Roman" w:eastAsia="黑体"/>
          <w:b/>
          <w:kern w:val="2"/>
          <w:sz w:val="32"/>
        </w:rPr>
      </w:pPr>
      <w:r>
        <w:rPr>
          <w:rFonts w:ascii="黑体" w:hAnsi="Times New Roman" w:eastAsia="黑体"/>
          <w:b/>
          <w:kern w:val="2"/>
          <w:sz w:val="32"/>
        </w:rPr>
        <w:t>三、</w:t>
      </w:r>
      <w:r>
        <w:rPr>
          <w:rFonts w:ascii="Times New Roman" w:hAnsi="Times New Roman" w:eastAsia="黑体"/>
          <w:b/>
          <w:kern w:val="2"/>
          <w:sz w:val="32"/>
        </w:rPr>
        <w:t>2024年度</w:t>
      </w:r>
      <w:r>
        <w:rPr>
          <w:rFonts w:ascii="黑体" w:hAnsi="Times New Roman" w:eastAsia="黑体"/>
          <w:b/>
          <w:kern w:val="2"/>
          <w:sz w:val="32"/>
        </w:rPr>
        <w:t>部门（单位）主要工作完成情况</w:t>
      </w:r>
    </w:p>
    <w:p>
      <w:pPr>
        <w:widowControl/>
        <w:spacing w:before="240" w:after="240"/>
        <w:ind w:firstLine="540" w:firstLineChars="20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1.</w:t>
      </w:r>
      <w:r>
        <w:rPr>
          <w:rFonts w:hint="default" w:ascii="仿宋_GB2312" w:hAnsi="仿宋_GB2312" w:eastAsia="仿宋_GB2312" w:cs="仿宋_GB2312"/>
          <w:color w:val="000000"/>
          <w:kern w:val="0"/>
          <w:sz w:val="27"/>
          <w:szCs w:val="27"/>
          <w:lang w:val="en-US" w:eastAsia="zh-CN"/>
        </w:rPr>
        <w:t>进一步深化预算管理改革。</w:t>
      </w:r>
    </w:p>
    <w:p>
      <w:pPr>
        <w:widowControl/>
        <w:spacing w:before="240" w:after="240"/>
        <w:ind w:firstLine="540" w:firstLineChars="20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2.</w:t>
      </w:r>
      <w:r>
        <w:rPr>
          <w:rFonts w:hint="default" w:ascii="仿宋_GB2312" w:hAnsi="仿宋_GB2312" w:eastAsia="仿宋_GB2312" w:cs="仿宋_GB2312"/>
          <w:color w:val="000000"/>
          <w:kern w:val="0"/>
          <w:sz w:val="27"/>
          <w:szCs w:val="27"/>
          <w:lang w:val="en-US" w:eastAsia="zh-CN"/>
        </w:rPr>
        <w:t>202</w:t>
      </w:r>
      <w:r>
        <w:rPr>
          <w:rFonts w:hint="eastAsia" w:ascii="仿宋_GB2312" w:hAnsi="仿宋_GB2312" w:eastAsia="仿宋_GB2312" w:cs="仿宋_GB2312"/>
          <w:color w:val="000000"/>
          <w:kern w:val="0"/>
          <w:sz w:val="27"/>
          <w:szCs w:val="27"/>
          <w:lang w:val="en-US" w:eastAsia="zh-CN"/>
        </w:rPr>
        <w:t>4</w:t>
      </w:r>
      <w:r>
        <w:rPr>
          <w:rFonts w:hint="default" w:ascii="仿宋_GB2312" w:hAnsi="仿宋_GB2312" w:eastAsia="仿宋_GB2312" w:cs="仿宋_GB2312"/>
          <w:color w:val="000000"/>
          <w:kern w:val="0"/>
          <w:sz w:val="27"/>
          <w:szCs w:val="27"/>
          <w:lang w:val="en-US" w:eastAsia="zh-CN"/>
        </w:rPr>
        <w:t>年进行了等级医院评审工作</w:t>
      </w:r>
    </w:p>
    <w:p>
      <w:pPr>
        <w:widowControl/>
        <w:spacing w:before="240" w:after="240"/>
        <w:ind w:firstLine="540" w:firstLineChars="20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3.</w:t>
      </w:r>
      <w:r>
        <w:rPr>
          <w:rFonts w:hint="default" w:ascii="仿宋_GB2312" w:hAnsi="仿宋_GB2312" w:eastAsia="仿宋_GB2312" w:cs="仿宋_GB2312"/>
          <w:color w:val="000000"/>
          <w:kern w:val="0"/>
          <w:sz w:val="27"/>
          <w:szCs w:val="27"/>
          <w:lang w:val="en-US" w:eastAsia="zh-CN"/>
        </w:rPr>
        <w:t xml:space="preserve">完善财政预算一体化系统的对接 </w:t>
      </w:r>
    </w:p>
    <w:p>
      <w:pPr>
        <w:widowControl/>
        <w:spacing w:before="240" w:after="240"/>
        <w:ind w:firstLine="540" w:firstLineChars="200"/>
        <w:rPr>
          <w:rFonts w:hint="default" w:ascii="仿宋_GB2312" w:hAnsi="仿宋_GB2312" w:eastAsia="仿宋_GB2312" w:cs="仿宋_GB2312"/>
          <w:color w:val="000000"/>
          <w:kern w:val="0"/>
          <w:sz w:val="27"/>
          <w:szCs w:val="27"/>
          <w:lang w:val="en-US" w:eastAsia="zh-CN"/>
        </w:rPr>
      </w:pPr>
      <w:r>
        <w:rPr>
          <w:rFonts w:hint="eastAsia" w:ascii="仿宋_GB2312" w:hAnsi="仿宋_GB2312" w:eastAsia="仿宋_GB2312" w:cs="仿宋_GB2312"/>
          <w:color w:val="000000"/>
          <w:kern w:val="0"/>
          <w:sz w:val="27"/>
          <w:szCs w:val="27"/>
          <w:lang w:val="en-US" w:eastAsia="zh-CN"/>
        </w:rPr>
        <w:t>4.</w:t>
      </w:r>
      <w:r>
        <w:rPr>
          <w:rFonts w:hint="default" w:ascii="仿宋_GB2312" w:hAnsi="仿宋_GB2312" w:eastAsia="仿宋_GB2312" w:cs="仿宋_GB2312"/>
          <w:color w:val="000000"/>
          <w:kern w:val="0"/>
          <w:sz w:val="27"/>
          <w:szCs w:val="27"/>
          <w:lang w:val="en-US" w:eastAsia="zh-CN"/>
        </w:rPr>
        <w:t xml:space="preserve">完成运营管理信息化建设 </w:t>
      </w:r>
    </w:p>
    <w:p>
      <w:pPr>
        <w:widowControl/>
        <w:spacing w:before="240" w:after="240"/>
        <w:ind w:firstLine="540" w:firstLineChars="200"/>
        <w:rPr>
          <w:rFonts w:hint="default" w:hAnsi="Times New Roman"/>
          <w:kern w:val="2"/>
          <w:sz w:val="32"/>
        </w:rPr>
      </w:pPr>
      <w:r>
        <w:rPr>
          <w:rFonts w:hint="eastAsia" w:ascii="仿宋_GB2312" w:hAnsi="仿宋_GB2312" w:eastAsia="仿宋_GB2312" w:cs="仿宋_GB2312"/>
          <w:color w:val="000000"/>
          <w:kern w:val="0"/>
          <w:sz w:val="27"/>
          <w:szCs w:val="27"/>
          <w:lang w:val="en-US" w:eastAsia="zh-CN"/>
        </w:rPr>
        <w:t>5.</w:t>
      </w:r>
      <w:r>
        <w:rPr>
          <w:rFonts w:hint="default" w:ascii="仿宋_GB2312" w:hAnsi="仿宋_GB2312" w:eastAsia="仿宋_GB2312" w:cs="仿宋_GB2312"/>
          <w:color w:val="000000"/>
          <w:kern w:val="0"/>
          <w:sz w:val="27"/>
          <w:szCs w:val="27"/>
          <w:lang w:val="en-US" w:eastAsia="zh-CN"/>
        </w:rPr>
        <w:t>组织并督促全院资产清查工作</w:t>
      </w:r>
    </w:p>
    <w:p>
      <w:pPr>
        <w:spacing w:after="120"/>
        <w:ind w:left="420" w:firstLine="420"/>
        <w:jc w:val="both"/>
        <w:rPr>
          <w:rFonts w:hint="default" w:ascii="Times New Roman" w:eastAsia="Times New Roman"/>
          <w:kern w:val="2"/>
          <w:sz w:val="21"/>
        </w:rPr>
      </w:pPr>
    </w:p>
    <w:p>
      <w:pPr>
        <w:spacing w:after="120"/>
        <w:ind w:left="420" w:firstLine="420"/>
        <w:jc w:val="both"/>
        <w:rPr>
          <w:rFonts w:hint="default" w:ascii="Times New Roman" w:eastAsia="Times New Roman"/>
          <w:kern w:val="2"/>
          <w:sz w:val="21"/>
        </w:rPr>
      </w:pP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第二部分 部门（单位）决算情况说明</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一、收入支出决算总体情况说明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w:t>
      </w:r>
      <w:r>
        <w:rPr>
          <w:rFonts w:hint="eastAsia" w:ascii="仿宋_GB2312" w:hAnsi="仿宋_GB2312" w:eastAsia="仿宋_GB2312" w:cs="仿宋_GB2312"/>
          <w:color w:val="000000"/>
          <w:kern w:val="0"/>
          <w:sz w:val="27"/>
          <w:szCs w:val="27"/>
          <w:lang w:val="en-US" w:eastAsia="zh-CN"/>
        </w:rPr>
        <w:t xml:space="preserve"> </w:t>
      </w:r>
      <w:r>
        <w:rPr>
          <w:rFonts w:ascii="仿宋_GB2312" w:hAnsi="仿宋_GB2312" w:eastAsia="仿宋_GB2312" w:cs="仿宋_GB2312"/>
          <w:color w:val="000000"/>
          <w:kern w:val="0"/>
          <w:sz w:val="27"/>
          <w:szCs w:val="27"/>
        </w:rPr>
        <w:t>内蒙古自治区巴彦淖尔市医院 2024年度收入、支出决算总计均为</w:t>
      </w:r>
      <w:r>
        <w:rPr>
          <w:rFonts w:eastAsia="Times New Roman"/>
          <w:color w:val="000000"/>
          <w:kern w:val="0"/>
          <w:sz w:val="27"/>
          <w:szCs w:val="27"/>
          <w:u w:val="single" w:color="000000"/>
        </w:rPr>
        <w:t xml:space="preserve"> 127538.57</w:t>
      </w:r>
      <w:r>
        <w:rPr>
          <w:rFonts w:ascii="仿宋_GB2312" w:hAnsi="仿宋_GB2312" w:eastAsia="仿宋_GB2312" w:cs="仿宋_GB2312"/>
          <w:color w:val="000000"/>
          <w:kern w:val="0"/>
          <w:sz w:val="27"/>
          <w:szCs w:val="27"/>
        </w:rPr>
        <w:t>万元。与年初预算相比，收、支总计各增加</w:t>
      </w:r>
      <w:r>
        <w:rPr>
          <w:rFonts w:eastAsia="Times New Roman"/>
          <w:color w:val="000000"/>
          <w:kern w:val="0"/>
          <w:sz w:val="27"/>
          <w:szCs w:val="27"/>
          <w:u w:val="single" w:color="000000"/>
        </w:rPr>
        <w:t xml:space="preserve"> 118749.33</w:t>
      </w:r>
      <w:r>
        <w:rPr>
          <w:rFonts w:ascii="仿宋_GB2312" w:hAnsi="仿宋_GB2312" w:eastAsia="仿宋_GB2312" w:cs="仿宋_GB2312"/>
          <w:color w:val="000000"/>
          <w:kern w:val="0"/>
          <w:sz w:val="27"/>
          <w:szCs w:val="27"/>
        </w:rPr>
        <w:t>万元，增长</w:t>
      </w:r>
      <w:r>
        <w:rPr>
          <w:rFonts w:eastAsia="Times New Roman"/>
          <w:color w:val="000000"/>
          <w:kern w:val="0"/>
          <w:sz w:val="27"/>
          <w:szCs w:val="27"/>
          <w:u w:val="single" w:color="000000"/>
        </w:rPr>
        <w:t xml:space="preserve"> 1351.08</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2024年预算中不包含自有资金，2024年决算中</w:t>
      </w:r>
      <w:r>
        <w:rPr>
          <w:rFonts w:ascii="仿宋_GB2312" w:hAnsi="仿宋_GB2312" w:eastAsia="仿宋_GB2312" w:cs="仿宋_GB2312"/>
          <w:color w:val="000000"/>
          <w:kern w:val="0"/>
          <w:sz w:val="27"/>
          <w:szCs w:val="27"/>
        </w:rPr>
        <w:t>；与上年决算相比，收、支总计各减少</w:t>
      </w:r>
      <w:r>
        <w:rPr>
          <w:rFonts w:eastAsia="Times New Roman"/>
          <w:color w:val="000000"/>
          <w:kern w:val="0"/>
          <w:sz w:val="27"/>
          <w:szCs w:val="27"/>
          <w:u w:val="single" w:color="000000"/>
        </w:rPr>
        <w:t xml:space="preserve"> 18933.92</w:t>
      </w:r>
      <w:r>
        <w:rPr>
          <w:rFonts w:ascii="仿宋_GB2312" w:hAnsi="仿宋_GB2312" w:eastAsia="仿宋_GB2312" w:cs="仿宋_GB2312"/>
          <w:color w:val="000000"/>
          <w:kern w:val="0"/>
          <w:sz w:val="27"/>
          <w:szCs w:val="27"/>
        </w:rPr>
        <w:t>万元，下降</w:t>
      </w:r>
      <w:r>
        <w:rPr>
          <w:rFonts w:eastAsia="Times New Roman"/>
          <w:color w:val="000000"/>
          <w:kern w:val="0"/>
          <w:sz w:val="27"/>
          <w:szCs w:val="27"/>
          <w:u w:val="single" w:color="000000"/>
        </w:rPr>
        <w:t xml:space="preserve"> 12.93</w:t>
      </w:r>
      <w:r>
        <w:rPr>
          <w:rFonts w:ascii="仿宋_GB2312" w:hAnsi="仿宋_GB2312" w:eastAsia="仿宋_GB2312" w:cs="仿宋_GB2312"/>
          <w:color w:val="000000"/>
          <w:kern w:val="0"/>
          <w:sz w:val="27"/>
          <w:szCs w:val="27"/>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（一）收入决算总计</w:t>
      </w:r>
      <w:r>
        <w:rPr>
          <w:rFonts w:ascii="times_new_roman" w:hAnsi="times_new_roman" w:eastAsia="times_new_roman" w:cs="times_new_roman"/>
          <w:b/>
          <w:bCs/>
          <w:color w:val="000000"/>
          <w:kern w:val="0"/>
          <w:sz w:val="27"/>
          <w:szCs w:val="27"/>
          <w:u w:val="single" w:color="000000"/>
        </w:rPr>
        <w:t> 127538.57</w:t>
      </w:r>
      <w:r>
        <w:rPr>
          <w:rFonts w:ascii="kai_ti_gb2312" w:hAnsi="kai_ti_gb2312" w:eastAsia="kai_ti_gb2312" w:cs="kai_ti_gb2312"/>
          <w:b/>
          <w:bCs/>
          <w:color w:val="000000"/>
          <w:kern w:val="0"/>
          <w:sz w:val="27"/>
          <w:szCs w:val="27"/>
        </w:rPr>
        <w:t>万元。包括：</w:t>
      </w:r>
    </w:p>
    <w:p>
      <w:pPr>
        <w:widowControl/>
        <w:spacing w:before="240" w:after="240"/>
        <w:rPr>
          <w:rFonts w:hint="default" w:ascii="Times New Roman" w:hAnsi="Times New Roman" w:eastAsia="仿宋_GB2312" w:cs="Times New Roman"/>
          <w:kern w:val="0"/>
          <w:sz w:val="24"/>
          <w:lang w:val="en-US" w:eastAsia="zh-CN"/>
        </w:rPr>
      </w:pPr>
      <w:r>
        <w:rPr>
          <w:rFonts w:ascii="仿宋_GB2312" w:hAnsi="仿宋_GB2312" w:eastAsia="仿宋_GB2312" w:cs="仿宋_GB2312"/>
          <w:color w:val="000000"/>
          <w:kern w:val="0"/>
          <w:sz w:val="27"/>
          <w:szCs w:val="27"/>
        </w:rPr>
        <w:t>    1.本年收入决算合计</w:t>
      </w:r>
      <w:r>
        <w:rPr>
          <w:rFonts w:ascii="times_new_roman" w:hAnsi="times_new_roman" w:eastAsia="times_new_roman" w:cs="times_new_roman"/>
          <w:color w:val="000000"/>
          <w:kern w:val="0"/>
          <w:sz w:val="27"/>
          <w:szCs w:val="27"/>
          <w:u w:val="single" w:color="000000"/>
        </w:rPr>
        <w:t> 121249.90</w:t>
      </w:r>
      <w:r>
        <w:rPr>
          <w:rFonts w:ascii="仿宋_GB2312" w:hAnsi="仿宋_GB2312" w:eastAsia="仿宋_GB2312" w:cs="仿宋_GB2312"/>
          <w:color w:val="000000"/>
          <w:kern w:val="0"/>
          <w:sz w:val="27"/>
          <w:szCs w:val="27"/>
        </w:rPr>
        <w:t>万元。与上年决算相比，减少</w:t>
      </w:r>
      <w:r>
        <w:rPr>
          <w:rFonts w:ascii="times_new_roman" w:hAnsi="times_new_roman" w:eastAsia="times_new_roman" w:cs="times_new_roman"/>
          <w:color w:val="000000"/>
          <w:kern w:val="0"/>
          <w:sz w:val="27"/>
          <w:szCs w:val="27"/>
          <w:u w:val="single" w:color="000000"/>
        </w:rPr>
        <w:t>18276.77</w:t>
      </w:r>
      <w:r>
        <w:rPr>
          <w:rFonts w:ascii="仿宋_GB2312" w:hAnsi="仿宋_GB2312" w:eastAsia="仿宋_GB2312" w:cs="仿宋_GB2312"/>
          <w:color w:val="000000"/>
          <w:kern w:val="0"/>
          <w:sz w:val="27"/>
          <w:szCs w:val="27"/>
        </w:rPr>
        <w:t>万元，下降</w:t>
      </w:r>
      <w:r>
        <w:rPr>
          <w:rFonts w:ascii="仿宋_GB2312" w:hAnsi="仿宋_GB2312" w:eastAsia="仿宋_GB2312" w:cs="仿宋_GB2312"/>
          <w:color w:val="000000"/>
          <w:kern w:val="0"/>
          <w:sz w:val="27"/>
          <w:szCs w:val="27"/>
          <w:u w:val="single" w:color="000000"/>
        </w:rPr>
        <w:t> </w:t>
      </w:r>
      <w:r>
        <w:rPr>
          <w:rFonts w:ascii="times_new_roman" w:hAnsi="times_new_roman" w:eastAsia="times_new_roman" w:cs="times_new_roman"/>
          <w:color w:val="000000"/>
          <w:kern w:val="0"/>
          <w:sz w:val="27"/>
          <w:szCs w:val="27"/>
          <w:u w:val="single" w:color="000000"/>
        </w:rPr>
        <w:t>13.10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2023年疫情结束，医院患者急增，收支增幅较大，2024年患者就诊量趋于平稳，收支较2023年有所回落</w:t>
      </w:r>
      <w:r>
        <w:rPr>
          <w:rFonts w:ascii="仿宋_GB2312" w:hAnsi="仿宋_GB2312" w:eastAsia="仿宋_GB2312" w:cs="仿宋_GB2312"/>
          <w:color w:val="000000"/>
          <w:kern w:val="0"/>
          <w:sz w:val="27"/>
          <w:szCs w:val="27"/>
        </w:rPr>
        <w:t>。</w:t>
      </w:r>
      <w:r>
        <w:rPr>
          <w:rFonts w:hint="eastAsia" w:ascii="仿宋_GB2312" w:hAnsi="仿宋_GB2312" w:eastAsia="仿宋_GB2312" w:cs="仿宋_GB2312"/>
          <w:color w:val="000000"/>
          <w:kern w:val="0"/>
          <w:sz w:val="27"/>
          <w:szCs w:val="27"/>
          <w:lang w:val="en-US" w:eastAsia="zh-CN"/>
        </w:rPr>
        <w:t>2024年医疗收费价格调整、以及医保单病种付费政策等，2024年收支较2023年有所下降。</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2.使用非财政拨款结余（含专用结余）</w:t>
      </w:r>
      <w:r>
        <w:rPr>
          <w:rFonts w:eastAsia="Times New 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万元。变动原因：</w:t>
      </w:r>
      <w:r>
        <w:rPr>
          <w:rFonts w:hint="eastAsia" w:ascii="仿宋_GB2312" w:hAnsi="仿宋_GB2312" w:eastAsia="仿宋_GB2312" w:cs="仿宋_GB2312"/>
          <w:color w:val="000000"/>
          <w:kern w:val="0"/>
          <w:sz w:val="27"/>
          <w:szCs w:val="27"/>
          <w:lang w:eastAsia="zh-CN"/>
        </w:rPr>
        <w:t>不存在此项内容</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3.年初结转和结余</w:t>
      </w:r>
      <w:r>
        <w:rPr>
          <w:rFonts w:ascii="仿宋_GB2312" w:hAnsi="仿宋_GB2312" w:eastAsia="仿宋_GB2312" w:cs="仿宋_GB2312"/>
          <w:color w:val="000000"/>
          <w:kern w:val="0"/>
          <w:sz w:val="27"/>
          <w:szCs w:val="27"/>
          <w:u w:val="single" w:color="000000"/>
        </w:rPr>
        <w:t> </w:t>
      </w:r>
      <w:r>
        <w:rPr>
          <w:rFonts w:ascii="times_new_roman" w:hAnsi="times_new_roman" w:eastAsia="times_new_roman" w:cs="times_new_roman"/>
          <w:color w:val="000000"/>
          <w:kern w:val="0"/>
          <w:sz w:val="27"/>
          <w:szCs w:val="27"/>
          <w:u w:val="single" w:color="000000"/>
        </w:rPr>
        <w:t>6288.67</w:t>
      </w:r>
      <w:r>
        <w:rPr>
          <w:rFonts w:ascii="仿宋_GB2312" w:hAnsi="仿宋_GB2312" w:eastAsia="仿宋_GB2312" w:cs="仿宋_GB2312"/>
          <w:color w:val="000000"/>
          <w:kern w:val="0"/>
          <w:sz w:val="27"/>
          <w:szCs w:val="27"/>
        </w:rPr>
        <w:t>万元。与上年决算相比，减少</w:t>
      </w:r>
      <w:r>
        <w:rPr>
          <w:rFonts w:ascii="times_new_roman" w:hAnsi="times_new_roman" w:eastAsia="times_new_roman" w:cs="times_new_roman"/>
          <w:color w:val="000000"/>
          <w:kern w:val="0"/>
          <w:sz w:val="27"/>
          <w:szCs w:val="27"/>
          <w:u w:val="single" w:color="000000"/>
        </w:rPr>
        <w:t> 657.15</w:t>
      </w:r>
      <w:r>
        <w:rPr>
          <w:rFonts w:ascii="仿宋_GB2312" w:hAnsi="仿宋_GB2312" w:eastAsia="仿宋_GB2312" w:cs="仿宋_GB2312"/>
          <w:color w:val="000000"/>
          <w:kern w:val="0"/>
          <w:sz w:val="27"/>
          <w:szCs w:val="27"/>
        </w:rPr>
        <w:t>万元，下降</w:t>
      </w:r>
      <w:r>
        <w:rPr>
          <w:rFonts w:ascii="times_new_roman" w:hAnsi="times_new_roman" w:eastAsia="times_new_roman" w:cs="times_new_roman"/>
          <w:color w:val="000000"/>
          <w:kern w:val="0"/>
          <w:sz w:val="27"/>
          <w:szCs w:val="27"/>
          <w:u w:val="single" w:color="000000"/>
        </w:rPr>
        <w:t> 9.46</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部分项目结转下年度使用</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（二）支出决算总计</w:t>
      </w:r>
      <w:r>
        <w:rPr>
          <w:rFonts w:ascii="times_new_roman" w:hAnsi="times_new_roman" w:eastAsia="times_new_roman" w:cs="times_new_roman"/>
          <w:b/>
          <w:bCs/>
          <w:color w:val="000000"/>
          <w:kern w:val="0"/>
          <w:sz w:val="27"/>
          <w:szCs w:val="27"/>
          <w:u w:val="single" w:color="000000"/>
        </w:rPr>
        <w:t> 127538.57</w:t>
      </w:r>
      <w:r>
        <w:rPr>
          <w:rFonts w:ascii="kai_ti_gb2312" w:hAnsi="kai_ti_gb2312" w:eastAsia="kai_ti_gb2312" w:cs="kai_ti_gb2312"/>
          <w:b/>
          <w:bCs/>
          <w:color w:val="000000"/>
          <w:kern w:val="0"/>
          <w:sz w:val="27"/>
          <w:szCs w:val="27"/>
        </w:rPr>
        <w:t>万元。包括：</w:t>
      </w:r>
    </w:p>
    <w:p>
      <w:pPr>
        <w:widowControl/>
        <w:spacing w:before="240" w:after="240"/>
        <w:rPr>
          <w:rFonts w:hint="default" w:ascii="Times New Roman" w:hAnsi="Times New Roman" w:eastAsia="仿宋_GB2312" w:cs="Times New Roman"/>
          <w:kern w:val="0"/>
          <w:sz w:val="24"/>
          <w:lang w:val="en-US" w:eastAsia="zh-CN"/>
        </w:rPr>
      </w:pPr>
      <w:r>
        <w:rPr>
          <w:rFonts w:ascii="仿宋_GB2312" w:hAnsi="仿宋_GB2312" w:eastAsia="仿宋_GB2312" w:cs="仿宋_GB2312"/>
          <w:color w:val="000000"/>
          <w:kern w:val="0"/>
          <w:sz w:val="27"/>
          <w:szCs w:val="27"/>
        </w:rPr>
        <w:t>    1.本年支出决算合计</w:t>
      </w:r>
      <w:r>
        <w:rPr>
          <w:rFonts w:ascii="times_new_roman" w:hAnsi="times_new_roman" w:eastAsia="times_new_roman" w:cs="times_new_roman"/>
          <w:color w:val="000000"/>
          <w:kern w:val="0"/>
          <w:sz w:val="27"/>
          <w:szCs w:val="27"/>
          <w:u w:val="single" w:color="000000"/>
        </w:rPr>
        <w:t> 119042.01</w:t>
      </w:r>
      <w:r>
        <w:rPr>
          <w:rFonts w:ascii="仿宋_GB2312" w:hAnsi="仿宋_GB2312" w:eastAsia="仿宋_GB2312" w:cs="仿宋_GB2312"/>
          <w:color w:val="000000"/>
          <w:kern w:val="0"/>
          <w:sz w:val="27"/>
          <w:szCs w:val="27"/>
        </w:rPr>
        <w:t>万元。与上年决算相比，减少</w:t>
      </w:r>
      <w:r>
        <w:rPr>
          <w:rFonts w:ascii="times_new_roman" w:hAnsi="times_new_roman" w:eastAsia="times_new_roman" w:cs="times_new_roman"/>
          <w:color w:val="000000"/>
          <w:kern w:val="0"/>
          <w:sz w:val="27"/>
          <w:szCs w:val="27"/>
          <w:u w:val="single" w:color="000000"/>
        </w:rPr>
        <w:t> 21141.81</w:t>
      </w:r>
      <w:r>
        <w:rPr>
          <w:rFonts w:ascii="仿宋_GB2312" w:hAnsi="仿宋_GB2312" w:eastAsia="仿宋_GB2312" w:cs="仿宋_GB2312"/>
          <w:color w:val="000000"/>
          <w:kern w:val="0"/>
          <w:sz w:val="27"/>
          <w:szCs w:val="27"/>
        </w:rPr>
        <w:t>万元，下降</w:t>
      </w:r>
      <w:r>
        <w:rPr>
          <w:rFonts w:ascii="times_new_roman" w:hAnsi="times_new_roman" w:eastAsia="times_new_roman" w:cs="times_new_roman"/>
          <w:color w:val="000000"/>
          <w:kern w:val="0"/>
          <w:sz w:val="27"/>
          <w:szCs w:val="27"/>
          <w:u w:val="single" w:color="000000"/>
        </w:rPr>
        <w:t> 15.08</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2023年疫情结束，医院患者急增，收支增幅较大，2024年患者就诊量趋于平稳，收支较2023年有所回落</w:t>
      </w:r>
      <w:r>
        <w:rPr>
          <w:rFonts w:ascii="仿宋_GB2312" w:hAnsi="仿宋_GB2312" w:eastAsia="仿宋_GB2312" w:cs="仿宋_GB2312"/>
          <w:color w:val="000000"/>
          <w:kern w:val="0"/>
          <w:sz w:val="27"/>
          <w:szCs w:val="27"/>
        </w:rPr>
        <w:t>。</w:t>
      </w:r>
      <w:r>
        <w:rPr>
          <w:rFonts w:hint="eastAsia" w:ascii="仿宋_GB2312" w:hAnsi="仿宋_GB2312" w:eastAsia="仿宋_GB2312" w:cs="仿宋_GB2312"/>
          <w:color w:val="000000"/>
          <w:kern w:val="0"/>
          <w:sz w:val="27"/>
          <w:szCs w:val="27"/>
          <w:lang w:val="en-US" w:eastAsia="zh-CN"/>
        </w:rPr>
        <w:t>2024年医疗收费价格调整、以及医保单病种付费政策等，2024年收支较2023年有所下降。</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2.结余分配</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万元。结余分配事项：</w:t>
      </w:r>
      <w:r>
        <w:rPr>
          <w:rFonts w:hint="eastAsia" w:ascii="仿宋_GB2312" w:hAnsi="仿宋_GB2312" w:eastAsia="仿宋_GB2312" w:cs="仿宋_GB2312"/>
          <w:color w:val="000000"/>
          <w:kern w:val="0"/>
          <w:sz w:val="27"/>
          <w:szCs w:val="27"/>
          <w:lang w:eastAsia="zh-CN"/>
        </w:rPr>
        <w:t>无</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eastAsia="zh-CN"/>
        </w:rPr>
        <w:t>不存在此项内容</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3.年末结转和结余</w:t>
      </w:r>
      <w:r>
        <w:rPr>
          <w:rFonts w:ascii="times_new_roman" w:hAnsi="times_new_roman" w:eastAsia="times_new_roman" w:cs="times_new_roman"/>
          <w:color w:val="000000"/>
          <w:kern w:val="0"/>
          <w:sz w:val="27"/>
          <w:szCs w:val="27"/>
          <w:u w:val="single" w:color="000000"/>
        </w:rPr>
        <w:t> 8496.56</w:t>
      </w:r>
      <w:r>
        <w:rPr>
          <w:rFonts w:ascii="仿宋_GB2312" w:hAnsi="仿宋_GB2312" w:eastAsia="仿宋_GB2312" w:cs="仿宋_GB2312"/>
          <w:color w:val="000000"/>
          <w:kern w:val="0"/>
          <w:sz w:val="27"/>
          <w:szCs w:val="27"/>
        </w:rPr>
        <w:t>万元。与上年决算相比，增加</w:t>
      </w:r>
      <w:r>
        <w:rPr>
          <w:rFonts w:ascii="times_new_roman" w:hAnsi="times_new_roman" w:eastAsia="times_new_roman" w:cs="times_new_roman"/>
          <w:color w:val="000000"/>
          <w:kern w:val="0"/>
          <w:sz w:val="27"/>
          <w:szCs w:val="27"/>
          <w:u w:val="single" w:color="000000"/>
        </w:rPr>
        <w:t> 2207.89</w:t>
      </w:r>
      <w:r>
        <w:rPr>
          <w:rFonts w:ascii="仿宋_GB2312" w:hAnsi="仿宋_GB2312" w:eastAsia="仿宋_GB2312" w:cs="仿宋_GB2312"/>
          <w:color w:val="000000"/>
          <w:kern w:val="0"/>
          <w:sz w:val="27"/>
          <w:szCs w:val="27"/>
        </w:rPr>
        <w:t>万元，增长</w:t>
      </w:r>
      <w:r>
        <w:rPr>
          <w:rFonts w:ascii="times_new_roman" w:hAnsi="times_new_roman" w:eastAsia="times_new_roman" w:cs="times_new_roman"/>
          <w:color w:val="000000"/>
          <w:kern w:val="0"/>
          <w:sz w:val="27"/>
          <w:szCs w:val="27"/>
          <w:u w:val="single" w:color="000000"/>
        </w:rPr>
        <w:t> 35.11</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部分项目结转下年度使用</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二、收入决算情况说明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内蒙古自治区巴彦淖尔市医院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年度本年收入决算合计</w:t>
      </w:r>
      <w:r>
        <w:rPr>
          <w:rFonts w:ascii="times_new_roman" w:hAnsi="times_new_roman" w:eastAsia="times_new_roman" w:cs="times_new_roman"/>
          <w:color w:val="000000"/>
          <w:kern w:val="0"/>
          <w:sz w:val="27"/>
          <w:szCs w:val="27"/>
          <w:u w:val="single" w:color="000000"/>
        </w:rPr>
        <w:t> 121249.90</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本年一般公共预算财政拨款收入</w:t>
      </w:r>
      <w:r>
        <w:rPr>
          <w:rFonts w:ascii="times_new_roman" w:hAnsi="times_new_roman" w:eastAsia="times_new_roman" w:cs="times_new_roman"/>
          <w:color w:val="000000"/>
          <w:kern w:val="0"/>
          <w:sz w:val="27"/>
          <w:szCs w:val="27"/>
          <w:u w:val="single" w:color="000000"/>
        </w:rPr>
        <w:t> 10757.61</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8.87</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本年政府性基金预算财政拨款收入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本年国有资本经营预算财政拨款收入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本年上级补助收入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本年事业收入</w:t>
      </w:r>
      <w:r>
        <w:rPr>
          <w:rFonts w:ascii="times_new_roman" w:hAnsi="times_new_roman" w:eastAsia="times_new_roman" w:cs="times_new_roman"/>
          <w:color w:val="000000"/>
          <w:kern w:val="0"/>
          <w:sz w:val="27"/>
          <w:szCs w:val="27"/>
          <w:u w:val="single" w:color="000000"/>
        </w:rPr>
        <w:t> 76243.45</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62.88</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本年经营收入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本年附属单位上缴收入</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本年其他收入</w:t>
      </w:r>
      <w:r>
        <w:rPr>
          <w:rFonts w:ascii="times_new_roman" w:hAnsi="times_new_roman" w:eastAsia="times_new_roman" w:cs="times_new_roman"/>
          <w:color w:val="000000"/>
          <w:kern w:val="0"/>
          <w:sz w:val="27"/>
          <w:szCs w:val="27"/>
          <w:u w:val="single" w:color="000000"/>
        </w:rPr>
        <w:t> 34248.84</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28.25</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p>
    <w:p>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6316345" cy="3947795"/>
            <wp:effectExtent l="0" t="0" r="8255"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6316345" cy="3947795"/>
                    </a:xfrm>
                    <a:prstGeom prst="rect">
                      <a:avLst/>
                    </a:prstGeom>
                    <a:noFill/>
                    <a:ln>
                      <a:noFill/>
                    </a:ln>
                  </pic:spPr>
                </pic:pic>
              </a:graphicData>
            </a:graphic>
          </wp:inline>
        </w:drawing>
      </w:r>
      <w:r>
        <w:rPr>
          <w:rFonts w:ascii="Times New Roman" w:hAnsi="Times New Roman" w:eastAsia="Times New Roman" w:cs="Times New Roman"/>
          <w:kern w:val="0"/>
          <w:sz w:val="24"/>
        </w:rPr>
        <w:t xml:space="preserve">  </w:t>
      </w:r>
    </w:p>
    <w:p>
      <w:pPr>
        <w:widowControl/>
        <w:spacing w:before="240" w:after="240"/>
        <w:jc w:val="center"/>
        <w:rPr>
          <w:rFonts w:ascii="Times New Roman" w:hAnsi="Times New Roman" w:eastAsia="Times New Roman" w:cs="Times New Roman"/>
          <w:kern w:val="0"/>
          <w:sz w:val="24"/>
        </w:rPr>
      </w:pPr>
      <w:r>
        <w:rPr>
          <w:rFonts w:ascii="仿宋_GB2312" w:hAnsi="仿宋_GB2312" w:eastAsia="仿宋_GB2312" w:cs="仿宋_GB2312"/>
          <w:kern w:val="0"/>
          <w:sz w:val="27"/>
          <w:szCs w:val="27"/>
        </w:rPr>
        <w:t>图</w:t>
      </w:r>
      <w:r>
        <w:rPr>
          <w:rFonts w:ascii="times_new_roman" w:hAnsi="times_new_roman" w:eastAsia="times_new_roman" w:cs="times_new_roman"/>
          <w:kern w:val="0"/>
          <w:sz w:val="27"/>
          <w:szCs w:val="27"/>
        </w:rPr>
        <w:t>1</w:t>
      </w:r>
      <w:r>
        <w:rPr>
          <w:rFonts w:ascii="仿宋_GB2312" w:hAnsi="仿宋_GB2312" w:eastAsia="仿宋_GB2312" w:cs="仿宋_GB2312"/>
          <w:kern w:val="0"/>
          <w:sz w:val="27"/>
          <w:szCs w:val="27"/>
        </w:rPr>
        <w:t>.收入决算图</w:t>
      </w:r>
    </w:p>
    <w:p>
      <w:pPr>
        <w:widowControl/>
        <w:spacing w:before="240" w:after="240"/>
        <w:jc w:val="left"/>
        <w:rPr>
          <w:rFonts w:ascii="黑体" w:hAnsi="黑体" w:eastAsia="黑体" w:cs="黑体"/>
          <w:b/>
          <w:bCs/>
          <w:kern w:val="0"/>
          <w:sz w:val="27"/>
          <w:szCs w:val="27"/>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p>
    <w:p>
      <w:pPr>
        <w:widowControl/>
        <w:spacing w:before="240" w:after="240"/>
        <w:jc w:val="left"/>
        <w:rPr>
          <w:rFonts w:ascii="Times New Roman" w:hAnsi="Times New Roman" w:eastAsia="Times New Roman" w:cs="Times New Roman"/>
          <w:kern w:val="0"/>
          <w:sz w:val="24"/>
        </w:rPr>
      </w:pPr>
      <w:r>
        <w:rPr>
          <w:rFonts w:ascii="黑体" w:hAnsi="黑体" w:eastAsia="黑体" w:cs="黑体"/>
          <w:b/>
          <w:bCs/>
          <w:kern w:val="0"/>
          <w:sz w:val="27"/>
          <w:szCs w:val="27"/>
        </w:rPr>
        <w:t>三、支出决算情况说明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内蒙古自治区巴彦淖尔市医院 2024年度本年支出决算合计</w:t>
      </w:r>
      <w:r>
        <w:rPr>
          <w:rFonts w:ascii="times_new_roman" w:hAnsi="times_new_roman" w:eastAsia="times_new_roman" w:cs="times_new_roman"/>
          <w:color w:val="000000"/>
          <w:kern w:val="0"/>
          <w:sz w:val="27"/>
          <w:szCs w:val="27"/>
          <w:u w:val="single" w:color="000000"/>
        </w:rPr>
        <w:t> 119042.01</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本年基本支出</w:t>
      </w:r>
      <w:r>
        <w:rPr>
          <w:rFonts w:ascii="times_new_roman" w:hAnsi="times_new_roman" w:eastAsia="times_new_roman" w:cs="times_new_roman"/>
          <w:color w:val="000000"/>
          <w:kern w:val="0"/>
          <w:sz w:val="27"/>
          <w:szCs w:val="27"/>
          <w:u w:val="single" w:color="000000"/>
        </w:rPr>
        <w:t> 94088.52</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79.04</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本年项目支出</w:t>
      </w:r>
      <w:r>
        <w:rPr>
          <w:rFonts w:ascii="times_new_roman" w:hAnsi="times_new_roman" w:eastAsia="times_new_roman" w:cs="times_new_roman"/>
          <w:color w:val="000000"/>
          <w:kern w:val="0"/>
          <w:sz w:val="27"/>
          <w:szCs w:val="27"/>
          <w:u w:val="single" w:color="000000"/>
        </w:rPr>
        <w:t> 24953.49</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20.96</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本年上缴上级支出</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本年经营支出</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本年对附属单位补助支出</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万元，占</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w:t>
      </w:r>
    </w:p>
    <w:p>
      <w:pPr>
        <w:widowControl/>
        <w:spacing w:before="240" w:after="240"/>
        <w:jc w:val="center"/>
        <w:rPr>
          <w:rFonts w:ascii="Times New Roman" w:hAnsi="Times New Roman" w:eastAsia="Times New Roman" w:cs="Times New Roman"/>
          <w:kern w:val="0"/>
          <w:sz w:val="24"/>
        </w:rPr>
      </w:pPr>
      <w:r>
        <w:rPr>
          <w:rFonts w:ascii="Times New Roman" w:hAnsi="Times New Roman" w:eastAsia="Times New Roman" w:cs="Times New Roman"/>
          <w:strike w:val="0"/>
          <w:kern w:val="0"/>
          <w:sz w:val="24"/>
          <w:u w:val="none"/>
        </w:rPr>
        <w:drawing>
          <wp:inline distT="0" distB="0" distL="114300" distR="114300">
            <wp:extent cx="6296025" cy="3935095"/>
            <wp:effectExtent l="0" t="0" r="9525"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6296025" cy="3935095"/>
                    </a:xfrm>
                    <a:prstGeom prst="rect">
                      <a:avLst/>
                    </a:prstGeom>
                    <a:noFill/>
                    <a:ln>
                      <a:noFill/>
                    </a:ln>
                  </pic:spPr>
                </pic:pic>
              </a:graphicData>
            </a:graphic>
          </wp:inline>
        </w:drawing>
      </w:r>
      <w:r>
        <w:rPr>
          <w:rFonts w:ascii="Times New Roman" w:hAnsi="Times New Roman" w:eastAsia="Times New Roman" w:cs="Times New Roman"/>
          <w:kern w:val="0"/>
          <w:sz w:val="24"/>
        </w:rPr>
        <w:t xml:space="preserve">  </w:t>
      </w:r>
    </w:p>
    <w:p>
      <w:pPr>
        <w:widowControl/>
        <w:spacing w:before="240" w:after="240"/>
        <w:jc w:val="center"/>
        <w:rPr>
          <w:rFonts w:ascii="Times New Roman" w:hAnsi="Times New Roman" w:eastAsia="Times New Roman" w:cs="Times New Roman"/>
          <w:kern w:val="0"/>
          <w:sz w:val="24"/>
        </w:rPr>
      </w:pPr>
      <w:r>
        <w:rPr>
          <w:rFonts w:ascii="仿宋_GB2312" w:hAnsi="仿宋_GB2312" w:eastAsia="仿宋_GB2312" w:cs="仿宋_GB2312"/>
          <w:kern w:val="0"/>
          <w:sz w:val="27"/>
          <w:szCs w:val="27"/>
        </w:rPr>
        <w:t>图2.支出决算图</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四、财政拨款收入支出决算总体情况说明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xml:space="preserve"> 内蒙古自治区巴彦淖尔市医院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年度财政拨款收入、支出决算总计均为</w:t>
      </w:r>
      <w:r>
        <w:rPr>
          <w:rFonts w:ascii="times_new_roman" w:hAnsi="times_new_roman" w:eastAsia="times_new_roman" w:cs="times_new_roman"/>
          <w:color w:val="000000"/>
          <w:kern w:val="0"/>
          <w:sz w:val="27"/>
          <w:szCs w:val="27"/>
          <w:u w:val="single" w:color="000000"/>
        </w:rPr>
        <w:t> 10757.61</w:t>
      </w:r>
      <w:r>
        <w:rPr>
          <w:rFonts w:ascii="仿宋_GB2312" w:hAnsi="仿宋_GB2312" w:eastAsia="仿宋_GB2312" w:cs="仿宋_GB2312"/>
          <w:color w:val="000000"/>
          <w:kern w:val="0"/>
          <w:sz w:val="27"/>
          <w:szCs w:val="27"/>
        </w:rPr>
        <w:t>万元，与年初预算相比，收、支总计各增加</w:t>
      </w:r>
      <w:r>
        <w:rPr>
          <w:rFonts w:ascii="times_new_roman" w:hAnsi="times_new_roman" w:eastAsia="times_new_roman" w:cs="times_new_roman"/>
          <w:color w:val="000000"/>
          <w:kern w:val="0"/>
          <w:sz w:val="27"/>
          <w:szCs w:val="27"/>
          <w:u w:val="single" w:color="000000"/>
        </w:rPr>
        <w:t> 1968.37</w:t>
      </w:r>
      <w:r>
        <w:rPr>
          <w:rFonts w:ascii="仿宋_GB2312" w:hAnsi="仿宋_GB2312" w:eastAsia="仿宋_GB2312" w:cs="仿宋_GB2312"/>
          <w:color w:val="000000"/>
          <w:kern w:val="0"/>
          <w:sz w:val="27"/>
          <w:szCs w:val="27"/>
        </w:rPr>
        <w:t>万元，增长</w:t>
      </w:r>
      <w:r>
        <w:rPr>
          <w:rFonts w:ascii="times_new_roman" w:hAnsi="times_new_roman" w:eastAsia="times_new_roman" w:cs="times_new_roman"/>
          <w:color w:val="000000"/>
          <w:kern w:val="0"/>
          <w:sz w:val="27"/>
          <w:szCs w:val="27"/>
          <w:u w:val="single" w:color="000000"/>
        </w:rPr>
        <w:t> 22.40</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决算中包含财政基本拨款及财政项目拨款，预算只包含财政基本拨款及老干部医药费和非典人员补助</w:t>
      </w:r>
      <w:r>
        <w:rPr>
          <w:rFonts w:ascii="仿宋_GB2312" w:hAnsi="仿宋_GB2312" w:eastAsia="仿宋_GB2312" w:cs="仿宋_GB2312"/>
          <w:color w:val="000000"/>
          <w:kern w:val="0"/>
          <w:sz w:val="27"/>
          <w:szCs w:val="27"/>
        </w:rPr>
        <w:t>；与上年决算相比，减少</w:t>
      </w:r>
      <w:r>
        <w:rPr>
          <w:rFonts w:ascii="times_new_roman" w:hAnsi="times_new_roman" w:eastAsia="times_new_roman" w:cs="times_new_roman"/>
          <w:color w:val="000000"/>
          <w:kern w:val="0"/>
          <w:sz w:val="27"/>
          <w:szCs w:val="27"/>
          <w:u w:val="single" w:color="000000"/>
        </w:rPr>
        <w:t> 3120.26</w:t>
      </w:r>
      <w:r>
        <w:rPr>
          <w:rFonts w:ascii="仿宋_GB2312" w:hAnsi="仿宋_GB2312" w:eastAsia="仿宋_GB2312" w:cs="仿宋_GB2312"/>
          <w:color w:val="000000"/>
          <w:kern w:val="0"/>
          <w:sz w:val="27"/>
          <w:szCs w:val="27"/>
        </w:rPr>
        <w:t>万元，下降</w:t>
      </w:r>
      <w:r>
        <w:rPr>
          <w:rFonts w:ascii="times_new_roman" w:hAnsi="times_new_roman" w:eastAsia="times_new_roman" w:cs="times_new_roman"/>
          <w:color w:val="000000"/>
          <w:kern w:val="0"/>
          <w:sz w:val="27"/>
          <w:szCs w:val="27"/>
          <w:u w:val="single" w:color="000000"/>
        </w:rPr>
        <w:t>22.48</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2023年度财政拨付疫情防控专项款，2024年度无此部分财政专项收支</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五、一般公共预算财政拨款支出决算情况说明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内蒙古自治区巴彦淖尔市医院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年度一般公共预算财政拨款支出决算</w:t>
      </w:r>
      <w:r>
        <w:rPr>
          <w:rFonts w:ascii="times_new_roman" w:hAnsi="times_new_roman" w:eastAsia="times_new_roman" w:cs="times_new_roman"/>
          <w:color w:val="000000"/>
          <w:kern w:val="0"/>
          <w:sz w:val="27"/>
          <w:szCs w:val="27"/>
          <w:u w:val="single" w:color="000000"/>
        </w:rPr>
        <w:t> 10757.61</w:t>
      </w:r>
      <w:r>
        <w:rPr>
          <w:rFonts w:ascii="仿宋_GB2312" w:hAnsi="仿宋_GB2312" w:eastAsia="仿宋_GB2312" w:cs="仿宋_GB2312"/>
          <w:color w:val="000000"/>
          <w:kern w:val="0"/>
          <w:sz w:val="27"/>
          <w:szCs w:val="27"/>
        </w:rPr>
        <w:t>万元。与年初预算</w:t>
      </w:r>
      <w:r>
        <w:rPr>
          <w:rFonts w:eastAsia="Times New Roman"/>
          <w:color w:val="000000"/>
          <w:kern w:val="0"/>
          <w:sz w:val="27"/>
          <w:szCs w:val="27"/>
          <w:u w:val="single" w:color="000000"/>
        </w:rPr>
        <w:t xml:space="preserve"> 8789.24</w:t>
      </w:r>
      <w:r>
        <w:rPr>
          <w:rFonts w:ascii="仿宋_GB2312" w:hAnsi="仿宋_GB2312" w:eastAsia="仿宋_GB2312" w:cs="仿宋_GB2312"/>
          <w:color w:val="000000"/>
          <w:kern w:val="0"/>
          <w:sz w:val="27"/>
          <w:szCs w:val="27"/>
        </w:rPr>
        <w:t>万元相比，完成年初预算的</w:t>
      </w:r>
      <w:r>
        <w:rPr>
          <w:rFonts w:eastAsia="Times New Roman"/>
          <w:color w:val="000000"/>
          <w:kern w:val="0"/>
          <w:sz w:val="27"/>
          <w:szCs w:val="27"/>
          <w:u w:val="single" w:color="000000"/>
        </w:rPr>
        <w:t xml:space="preserve"> 122.40</w:t>
      </w:r>
      <w:r>
        <w:rPr>
          <w:rFonts w:ascii="仿宋_GB2312" w:hAnsi="仿宋_GB2312" w:eastAsia="仿宋_GB2312" w:cs="仿宋_GB2312"/>
          <w:color w:val="000000"/>
          <w:kern w:val="0"/>
          <w:sz w:val="27"/>
          <w:szCs w:val="27"/>
        </w:rPr>
        <w:t>%。其中：</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（一）一般公共服务（类）</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一般公共服务（类）决算数为</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万元，变动原因：</w:t>
      </w:r>
      <w:r>
        <w:rPr>
          <w:rFonts w:hint="eastAsia" w:ascii="仿宋_GB2312" w:hAnsi="仿宋_GB2312" w:eastAsia="仿宋_GB2312" w:cs="仿宋_GB2312"/>
          <w:color w:val="000000"/>
          <w:kern w:val="0"/>
          <w:sz w:val="27"/>
          <w:szCs w:val="27"/>
          <w:lang w:eastAsia="zh-CN"/>
        </w:rPr>
        <w:t>不存在此项内容</w:t>
      </w:r>
      <w:r>
        <w:rPr>
          <w:rFonts w:ascii="仿宋_GB2312" w:hAnsi="仿宋_GB2312" w:eastAsia="仿宋_GB2312" w:cs="仿宋_GB2312"/>
          <w:color w:val="000000"/>
          <w:kern w:val="0"/>
          <w:sz w:val="27"/>
          <w:szCs w:val="27"/>
        </w:rPr>
        <w:t>。</w:t>
      </w:r>
    </w:p>
    <w:p>
      <w:pPr>
        <w:widowControl/>
        <w:spacing w:before="240" w:after="240"/>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（二）公共安全（类）</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公共安全（类）决算数为</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万元，变动原因：</w:t>
      </w:r>
      <w:r>
        <w:rPr>
          <w:rFonts w:hint="eastAsia" w:ascii="仿宋_GB2312" w:hAnsi="仿宋_GB2312" w:eastAsia="仿宋_GB2312" w:cs="仿宋_GB2312"/>
          <w:color w:val="000000"/>
          <w:kern w:val="0"/>
          <w:sz w:val="27"/>
          <w:szCs w:val="27"/>
          <w:lang w:eastAsia="zh-CN"/>
        </w:rPr>
        <w:t>不存在此项内容</w:t>
      </w:r>
      <w:r>
        <w:rPr>
          <w:rFonts w:ascii="仿宋_GB2312" w:hAnsi="仿宋_GB2312" w:eastAsia="仿宋_GB2312" w:cs="仿宋_GB2312"/>
          <w:color w:val="000000"/>
          <w:kern w:val="0"/>
          <w:sz w:val="27"/>
          <w:szCs w:val="27"/>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（三）社会保障和就业支出（类）</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社会保障和就业支出（类）决算数为</w:t>
      </w:r>
      <w:r>
        <w:rPr>
          <w:rFonts w:ascii="times_new_roman" w:hAnsi="times_new_roman" w:eastAsia="times_new_roman" w:cs="times_new_roman"/>
          <w:color w:val="000000"/>
          <w:kern w:val="0"/>
          <w:sz w:val="27"/>
          <w:szCs w:val="27"/>
          <w:u w:val="single" w:color="000000"/>
        </w:rPr>
        <w:t> 1513.81</w:t>
      </w:r>
      <w:r>
        <w:rPr>
          <w:rFonts w:ascii="仿宋_GB2312" w:hAnsi="仿宋_GB2312" w:eastAsia="仿宋_GB2312" w:cs="仿宋_GB2312"/>
          <w:color w:val="000000"/>
          <w:kern w:val="0"/>
          <w:sz w:val="27"/>
          <w:szCs w:val="27"/>
        </w:rPr>
        <w:t>万元，与年初预算相比增加</w:t>
      </w:r>
      <w:r>
        <w:rPr>
          <w:rFonts w:ascii="times_new_roman" w:hAnsi="times_new_roman" w:eastAsia="times_new_roman" w:cs="times_new_roman"/>
          <w:color w:val="000000"/>
          <w:kern w:val="0"/>
          <w:sz w:val="27"/>
          <w:szCs w:val="27"/>
          <w:u w:val="single" w:color="000000"/>
        </w:rPr>
        <w:t xml:space="preserve"> 0</w:t>
      </w:r>
      <w:r>
        <w:rPr>
          <w:rFonts w:ascii="仿宋_GB2312" w:hAnsi="仿宋_GB2312" w:eastAsia="仿宋_GB2312" w:cs="仿宋_GB2312"/>
          <w:color w:val="000000"/>
          <w:kern w:val="0"/>
          <w:sz w:val="27"/>
          <w:szCs w:val="27"/>
        </w:rPr>
        <w:t>万元。</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xml:space="preserve">  </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（四）卫生健康支出（类）</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卫生健康支出（类）决算数为</w:t>
      </w:r>
      <w:r>
        <w:rPr>
          <w:rFonts w:ascii="times_new_roman" w:hAnsi="times_new_roman" w:eastAsia="times_new_roman" w:cs="times_new_roman"/>
          <w:color w:val="000000"/>
          <w:kern w:val="0"/>
          <w:sz w:val="27"/>
          <w:szCs w:val="27"/>
          <w:u w:val="single" w:color="000000"/>
        </w:rPr>
        <w:t> 8475.41</w:t>
      </w:r>
      <w:r>
        <w:rPr>
          <w:rFonts w:ascii="仿宋_GB2312" w:hAnsi="仿宋_GB2312" w:eastAsia="仿宋_GB2312" w:cs="仿宋_GB2312"/>
          <w:color w:val="000000"/>
          <w:kern w:val="0"/>
          <w:sz w:val="27"/>
          <w:szCs w:val="27"/>
        </w:rPr>
        <w:t>万元，与年初预算相比增加</w:t>
      </w:r>
      <w:r>
        <w:rPr>
          <w:rFonts w:ascii="times_new_roman" w:hAnsi="times_new_roman" w:eastAsia="times_new_roman" w:cs="times_new_roman"/>
          <w:color w:val="000000"/>
          <w:kern w:val="0"/>
          <w:sz w:val="27"/>
          <w:szCs w:val="27"/>
          <w:u w:val="single" w:color="000000"/>
        </w:rPr>
        <w:t>1693.85</w:t>
      </w:r>
      <w:r>
        <w:rPr>
          <w:rFonts w:ascii="仿宋_GB2312" w:hAnsi="仿宋_GB2312" w:eastAsia="仿宋_GB2312" w:cs="仿宋_GB2312"/>
          <w:color w:val="000000"/>
          <w:kern w:val="0"/>
          <w:sz w:val="27"/>
          <w:szCs w:val="27"/>
        </w:rPr>
        <w:t>万元。</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（五）住房保障支出（类）</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00000"/>
          <w:kern w:val="0"/>
          <w:sz w:val="27"/>
          <w:szCs w:val="27"/>
        </w:rPr>
        <w:t>    住房保障支出（类）决算数为</w:t>
      </w:r>
      <w:r>
        <w:rPr>
          <w:rFonts w:ascii="times_new_roman" w:hAnsi="times_new_roman" w:eastAsia="times_new_roman" w:cs="times_new_roman"/>
          <w:color w:val="000000"/>
          <w:kern w:val="0"/>
          <w:sz w:val="27"/>
          <w:szCs w:val="27"/>
          <w:u w:val="single" w:color="000000"/>
        </w:rPr>
        <w:t> 429.52</w:t>
      </w:r>
      <w:r>
        <w:rPr>
          <w:rFonts w:ascii="仿宋_GB2312" w:hAnsi="仿宋_GB2312" w:eastAsia="仿宋_GB2312" w:cs="仿宋_GB2312"/>
          <w:color w:val="000000"/>
          <w:kern w:val="0"/>
          <w:sz w:val="27"/>
          <w:szCs w:val="27"/>
        </w:rPr>
        <w:t>万元，与年初预算相比减少</w:t>
      </w:r>
      <w:r>
        <w:rPr>
          <w:rFonts w:ascii="times_new_roman" w:hAnsi="times_new_roman" w:eastAsia="times_new_roman" w:cs="times_new_roman"/>
          <w:color w:val="000000"/>
          <w:kern w:val="0"/>
          <w:sz w:val="27"/>
          <w:szCs w:val="27"/>
          <w:u w:val="single" w:color="000000"/>
        </w:rPr>
        <w:t xml:space="preserve"> 64.35</w:t>
      </w:r>
      <w:r>
        <w:rPr>
          <w:rFonts w:ascii="仿宋_GB2312" w:hAnsi="仿宋_GB2312" w:eastAsia="仿宋_GB2312" w:cs="仿宋_GB2312"/>
          <w:color w:val="000000"/>
          <w:kern w:val="0"/>
          <w:sz w:val="27"/>
          <w:szCs w:val="27"/>
        </w:rPr>
        <w:t>万元。</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六、一般公共预算财政拨款基本支出决算情况说明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内蒙古自治区巴彦淖尔市医院 2024年度一般公共预算财政拨款基本支出决算</w:t>
      </w:r>
      <w:r>
        <w:rPr>
          <w:rFonts w:ascii="times_new_roman" w:hAnsi="times_new_roman" w:eastAsia="times_new_roman" w:cs="times_new_roman"/>
          <w:color w:val="000000"/>
          <w:kern w:val="0"/>
          <w:sz w:val="27"/>
          <w:szCs w:val="27"/>
          <w:u w:val="single" w:color="000000"/>
        </w:rPr>
        <w:t> 7431.37</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（一）人员经费</w:t>
      </w:r>
      <w:r>
        <w:rPr>
          <w:rFonts w:ascii="times_new_roman" w:hAnsi="times_new_roman" w:eastAsia="times_new_roman" w:cs="times_new_roman"/>
          <w:color w:val="000000"/>
          <w:kern w:val="0"/>
          <w:sz w:val="27"/>
          <w:szCs w:val="27"/>
          <w:u w:val="single" w:color="000000"/>
        </w:rPr>
        <w:t> 7431.37</w:t>
      </w:r>
      <w:r>
        <w:rPr>
          <w:rFonts w:ascii="仿宋_GB2312" w:hAnsi="仿宋_GB2312" w:eastAsia="仿宋_GB2312" w:cs="仿宋_GB2312"/>
          <w:b/>
          <w:bCs/>
          <w:color w:val="000000"/>
          <w:kern w:val="0"/>
          <w:sz w:val="27"/>
          <w:szCs w:val="27"/>
        </w:rPr>
        <w:t>万元</w:t>
      </w:r>
      <w:r>
        <w:rPr>
          <w:rFonts w:ascii="仿宋_GB2312" w:hAnsi="仿宋_GB2312" w:eastAsia="仿宋_GB2312" w:cs="仿宋_GB2312"/>
          <w:color w:val="000000"/>
          <w:kern w:val="0"/>
          <w:sz w:val="27"/>
          <w:szCs w:val="27"/>
        </w:rPr>
        <w:t>。主要包括：基本工资、津贴补贴、奖金、伙食补助费、绩效工资、机关事业单位基本养老保险缴费、职业年金缴费、职工基本医疗保险缴费、公务员医疗补助缴费、住房公积金、其他工资福利支出、离休费、退休费、抚恤金、生活补助、医疗费补助、奖励金、其他对个人和家庭的补助支出等。</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（二）公用经费</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b/>
          <w:bCs/>
          <w:color w:val="000000"/>
          <w:kern w:val="0"/>
          <w:sz w:val="27"/>
          <w:szCs w:val="27"/>
        </w:rPr>
        <w:t>万元</w:t>
      </w:r>
      <w:r>
        <w:rPr>
          <w:rFonts w:ascii="仿宋_GB2312" w:hAnsi="仿宋_GB2312" w:eastAsia="仿宋_GB2312" w:cs="仿宋_GB2312"/>
          <w:color w:val="000000"/>
          <w:kern w:val="0"/>
          <w:sz w:val="27"/>
          <w:szCs w:val="27"/>
        </w:rPr>
        <w:t>。主要包括：办公费、印刷费、咨询费、手续费、水费、电费、邮电费、取暖费、物业管理费、差旅费、维修（护）费、租赁费、会议费、培训费、公务接待费、专用材料费、劳务费、委托业务费、工会经费、福利费、公务用车运行维护费、其他交通费用、其他商品和服务支出、办公设备购置、专用设备购置、信息网络及软件购置更新、其他资本性支出等。</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七、一般公共预算财政拨款项目支出决算情况说明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xml:space="preserve"> 内蒙古自治区巴彦淖尔市医院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年度一般公共预算财政拨款项目支出决算</w:t>
      </w:r>
      <w:r>
        <w:rPr>
          <w:rFonts w:eastAsia="Times New Roman"/>
          <w:color w:val="000000"/>
          <w:kern w:val="0"/>
          <w:sz w:val="27"/>
          <w:szCs w:val="27"/>
          <w:u w:val="single" w:color="000000"/>
        </w:rPr>
        <w:t xml:space="preserve"> 3326.25</w:t>
      </w:r>
      <w:r>
        <w:rPr>
          <w:rFonts w:ascii="仿宋_GB2312" w:hAnsi="仿宋_GB2312" w:eastAsia="仿宋_GB2312" w:cs="仿宋_GB2312"/>
          <w:color w:val="000000"/>
          <w:kern w:val="0"/>
          <w:sz w:val="27"/>
          <w:szCs w:val="27"/>
        </w:rPr>
        <w:t>万元，其中：</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（一）工资福利支出</w:t>
      </w:r>
      <w:r>
        <w:rPr>
          <w:rFonts w:eastAsia="Times New Roman"/>
          <w:color w:val="000000"/>
          <w:kern w:val="0"/>
          <w:sz w:val="27"/>
          <w:szCs w:val="27"/>
          <w:u w:val="single" w:color="000000"/>
        </w:rPr>
        <w:t xml:space="preserve"> </w:t>
      </w:r>
      <w:r>
        <w:rPr>
          <w:rFonts w:eastAsia="Times New Roman"/>
          <w:b/>
          <w:bCs/>
          <w:color w:val="000000"/>
          <w:kern w:val="0"/>
          <w:sz w:val="27"/>
          <w:szCs w:val="27"/>
          <w:u w:val="single" w:color="000000"/>
        </w:rPr>
        <w:t>54.30</w:t>
      </w:r>
      <w:r>
        <w:rPr>
          <w:rFonts w:ascii="仿宋_GB2312" w:hAnsi="仿宋_GB2312" w:eastAsia="仿宋_GB2312" w:cs="仿宋_GB2312"/>
          <w:color w:val="000000"/>
          <w:kern w:val="0"/>
          <w:sz w:val="27"/>
          <w:szCs w:val="27"/>
        </w:rPr>
        <w:t>万元。主要包括：基本工资、津贴补贴、奖金、伙食补助费、绩效工资、机关事业单位基本养老保险缴费、职业年金缴费、职工基本医疗保险缴费、公务员医疗补助缴费、其他社会保障缴费、住房公积金、医疗费、其他工资福利支出等。</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（二）商品和服务支出</w:t>
      </w:r>
      <w:r>
        <w:rPr>
          <w:rFonts w:eastAsia="Times New Roman"/>
          <w:b/>
          <w:bCs/>
          <w:color w:val="000000"/>
          <w:kern w:val="0"/>
          <w:sz w:val="27"/>
          <w:szCs w:val="27"/>
          <w:u w:val="single" w:color="000000"/>
        </w:rPr>
        <w:t xml:space="preserve"> 2793.84</w:t>
      </w:r>
      <w:r>
        <w:rPr>
          <w:rFonts w:ascii="仿宋_GB2312" w:hAnsi="仿宋_GB2312" w:eastAsia="仿宋_GB2312" w:cs="仿宋_GB2312"/>
          <w:color w:val="000000"/>
          <w:kern w:val="0"/>
          <w:sz w:val="27"/>
          <w:szCs w:val="27"/>
        </w:rPr>
        <w:t>万元。主要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b/>
          <w:bCs/>
          <w:color w:val="000000"/>
          <w:kern w:val="0"/>
          <w:sz w:val="27"/>
          <w:szCs w:val="27"/>
        </w:rPr>
        <w:t>    （三）资本性支出</w:t>
      </w:r>
      <w:r>
        <w:rPr>
          <w:rFonts w:eastAsia="Times New Roman"/>
          <w:b/>
          <w:bCs/>
          <w:color w:val="000000"/>
          <w:kern w:val="0"/>
          <w:sz w:val="27"/>
          <w:szCs w:val="27"/>
          <w:u w:val="single" w:color="000000"/>
        </w:rPr>
        <w:t xml:space="preserve"> 463.11</w:t>
      </w:r>
      <w:r>
        <w:rPr>
          <w:rFonts w:ascii="仿宋_GB2312" w:hAnsi="仿宋_GB2312" w:eastAsia="仿宋_GB2312" w:cs="仿宋_GB2312"/>
          <w:b/>
          <w:bCs/>
          <w:color w:val="000000"/>
          <w:kern w:val="0"/>
          <w:sz w:val="27"/>
          <w:szCs w:val="27"/>
        </w:rPr>
        <w:t>万元。</w:t>
      </w:r>
      <w:r>
        <w:rPr>
          <w:rFonts w:ascii="仿宋_GB2312" w:hAnsi="仿宋_GB2312" w:eastAsia="仿宋_GB2312" w:cs="仿宋_GB2312"/>
          <w:color w:val="000000"/>
          <w:kern w:val="0"/>
          <w:sz w:val="27"/>
          <w:szCs w:val="27"/>
        </w:rPr>
        <w:t>主要包括：房屋建筑物构建、办公设备购置、专用设备购置、基础设施建设、大型修缮、信息网络及软件购置更新、物资储备、土地补偿、安置补助、地上附着物和青苗补偿、拆迁补偿、公务用车购置、其他交通工具购置、文物和陈列品购置、无形资产购置、其他资本性支出等。</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八、财政拨款“三公”经费支出决算情况说明</w:t>
      </w:r>
    </w:p>
    <w:p>
      <w:pPr>
        <w:widowControl/>
        <w:spacing w:before="240" w:after="240"/>
        <w:ind w:firstLine="540" w:firstLineChars="20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（一）财政拨款“三公”经费支出总体情况说明。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内蒙古自治区巴彦淖尔市医院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w:t>
      </w:r>
      <w:r>
        <w:rPr>
          <w:rFonts w:hint="eastAsia" w:ascii="仿宋_GB2312" w:hAnsi="仿宋_GB2312" w:eastAsia="仿宋_GB2312" w:cs="仿宋_GB2312"/>
          <w:color w:val="000000"/>
          <w:kern w:val="0"/>
          <w:sz w:val="27"/>
          <w:szCs w:val="27"/>
          <w:lang w:eastAsia="zh-CN"/>
        </w:rPr>
        <w:t>无</w:t>
      </w:r>
      <w:r>
        <w:rPr>
          <w:rFonts w:ascii="仿宋_GB2312" w:hAnsi="仿宋_GB2312" w:eastAsia="仿宋_GB2312" w:cs="仿宋_GB2312"/>
          <w:color w:val="000000"/>
          <w:kern w:val="0"/>
          <w:sz w:val="27"/>
          <w:szCs w:val="27"/>
        </w:rPr>
        <w:t>财政拨款“三公”经费</w:t>
      </w:r>
      <w:r>
        <w:rPr>
          <w:rFonts w:hint="eastAsia" w:ascii="仿宋_GB2312" w:hAnsi="仿宋_GB2312" w:eastAsia="仿宋_GB2312" w:cs="仿宋_GB2312"/>
          <w:color w:val="000000"/>
          <w:kern w:val="0"/>
          <w:sz w:val="27"/>
          <w:szCs w:val="27"/>
          <w:lang w:eastAsia="zh-CN"/>
        </w:rPr>
        <w:t>支出。</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（二）财政拨款“三公”经费支出具体情况说明。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内蒙古自治区巴彦淖尔市医院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w:t>
      </w:r>
      <w:r>
        <w:rPr>
          <w:rFonts w:hint="eastAsia" w:ascii="仿宋_GB2312" w:hAnsi="仿宋_GB2312" w:eastAsia="仿宋_GB2312" w:cs="仿宋_GB2312"/>
          <w:color w:val="000000"/>
          <w:kern w:val="0"/>
          <w:sz w:val="27"/>
          <w:szCs w:val="27"/>
          <w:lang w:eastAsia="zh-CN"/>
        </w:rPr>
        <w:t>无</w:t>
      </w:r>
      <w:r>
        <w:rPr>
          <w:rFonts w:ascii="仿宋_GB2312" w:hAnsi="仿宋_GB2312" w:eastAsia="仿宋_GB2312" w:cs="仿宋_GB2312"/>
          <w:color w:val="000000"/>
          <w:kern w:val="0"/>
          <w:sz w:val="27"/>
          <w:szCs w:val="27"/>
        </w:rPr>
        <w:t>财政拨款“三公”经费</w:t>
      </w:r>
      <w:r>
        <w:rPr>
          <w:rFonts w:hint="eastAsia" w:ascii="仿宋_GB2312" w:hAnsi="仿宋_GB2312" w:eastAsia="仿宋_GB2312" w:cs="仿宋_GB2312"/>
          <w:color w:val="000000"/>
          <w:kern w:val="0"/>
          <w:sz w:val="27"/>
          <w:szCs w:val="27"/>
          <w:lang w:eastAsia="zh-CN"/>
        </w:rPr>
        <w:t>支出。</w:t>
      </w:r>
      <w:r>
        <w:rPr>
          <w:rFonts w:ascii="仿宋_GB2312" w:hAnsi="仿宋_GB2312" w:eastAsia="仿宋_GB2312" w:cs="仿宋_GB2312"/>
          <w:color w:val="0E00FE"/>
          <w:kern w:val="0"/>
          <w:sz w:val="27"/>
          <w:szCs w:val="27"/>
        </w:rPr>
        <w:t>   </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九、政府性基金预算财政拨款支出决算情况说明</w:t>
      </w:r>
    </w:p>
    <w:p>
      <w:pPr>
        <w:widowControl/>
        <w:spacing w:before="240" w:after="240"/>
        <w:rPr>
          <w:rFonts w:hint="eastAsia" w:ascii="Times New Roman" w:hAnsi="Times New Roman" w:eastAsia="仿宋_GB2312" w:cs="Times New Roman"/>
          <w:kern w:val="0"/>
          <w:sz w:val="24"/>
          <w:lang w:eastAsia="zh-CN"/>
        </w:rPr>
      </w:pPr>
      <w:r>
        <w:rPr>
          <w:rFonts w:ascii="仿宋_GB2312" w:hAnsi="仿宋_GB2312" w:eastAsia="仿宋_GB2312" w:cs="仿宋_GB2312"/>
          <w:color w:val="0E00FE"/>
          <w:kern w:val="0"/>
          <w:sz w:val="27"/>
          <w:szCs w:val="27"/>
        </w:rPr>
        <w:t>    </w:t>
      </w:r>
      <w:r>
        <w:rPr>
          <w:rFonts w:hint="eastAsia" w:ascii="仿宋_GB2312" w:hAnsi="仿宋_GB2312" w:eastAsia="仿宋_GB2312" w:cs="仿宋_GB2312"/>
          <w:color w:val="0E00FE"/>
          <w:kern w:val="0"/>
          <w:sz w:val="27"/>
          <w:szCs w:val="27"/>
          <w:lang w:val="en-US" w:eastAsia="zh-CN"/>
        </w:rPr>
        <w:t xml:space="preserve">  </w:t>
      </w:r>
      <w:r>
        <w:rPr>
          <w:rFonts w:ascii="仿宋_GB2312" w:hAnsi="仿宋_GB2312" w:eastAsia="仿宋_GB2312" w:cs="仿宋_GB2312"/>
          <w:color w:val="000000"/>
          <w:kern w:val="0"/>
          <w:sz w:val="27"/>
          <w:szCs w:val="27"/>
        </w:rPr>
        <w:t>内蒙古自治区巴彦淖尔市医院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w:t>
      </w:r>
      <w:r>
        <w:rPr>
          <w:rFonts w:hint="eastAsia" w:ascii="仿宋_GB2312" w:hAnsi="仿宋_GB2312" w:eastAsia="仿宋_GB2312" w:cs="仿宋_GB2312"/>
          <w:color w:val="000000"/>
          <w:kern w:val="0"/>
          <w:sz w:val="27"/>
          <w:szCs w:val="27"/>
          <w:lang w:eastAsia="zh-CN"/>
        </w:rPr>
        <w:t>无</w:t>
      </w:r>
      <w:r>
        <w:rPr>
          <w:rFonts w:ascii="仿宋_GB2312" w:hAnsi="仿宋_GB2312" w:eastAsia="仿宋_GB2312" w:cs="仿宋_GB2312"/>
          <w:color w:val="000000"/>
          <w:kern w:val="0"/>
          <w:sz w:val="27"/>
          <w:szCs w:val="27"/>
        </w:rPr>
        <w:t>政府性基金预算财政拨款支出</w:t>
      </w:r>
      <w:r>
        <w:rPr>
          <w:rFonts w:hint="eastAsia" w:ascii="仿宋_GB2312" w:hAnsi="仿宋_GB2312" w:eastAsia="仿宋_GB2312" w:cs="仿宋_GB2312"/>
          <w:color w:val="000000"/>
          <w:kern w:val="0"/>
          <w:sz w:val="27"/>
          <w:szCs w:val="27"/>
          <w:lang w:eastAsia="zh-CN"/>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十、国有资本经营预算财政拨款支出决算情况说明</w:t>
      </w:r>
    </w:p>
    <w:p>
      <w:pPr>
        <w:widowControl/>
        <w:spacing w:before="240" w:after="240"/>
        <w:rPr>
          <w:rFonts w:hint="eastAsia" w:ascii="Times New Roman" w:hAnsi="Times New Roman" w:eastAsia="仿宋_GB2312" w:cs="Times New Roman"/>
          <w:kern w:val="0"/>
          <w:sz w:val="24"/>
          <w:lang w:eastAsia="zh-CN"/>
        </w:rPr>
      </w:pPr>
      <w:r>
        <w:rPr>
          <w:rFonts w:ascii="仿宋_GB2312" w:hAnsi="仿宋_GB2312" w:eastAsia="仿宋_GB2312" w:cs="仿宋_GB2312"/>
          <w:color w:val="1200FF"/>
          <w:kern w:val="0"/>
          <w:sz w:val="27"/>
          <w:szCs w:val="27"/>
        </w:rPr>
        <w:t xml:space="preserve">  </w:t>
      </w: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内蒙古自治区巴彦淖尔市医院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w:t>
      </w:r>
      <w:r>
        <w:rPr>
          <w:rFonts w:hint="eastAsia" w:ascii="仿宋_GB2312" w:hAnsi="仿宋_GB2312" w:eastAsia="仿宋_GB2312" w:cs="仿宋_GB2312"/>
          <w:color w:val="000000"/>
          <w:kern w:val="0"/>
          <w:sz w:val="27"/>
          <w:szCs w:val="27"/>
          <w:lang w:eastAsia="zh-CN"/>
        </w:rPr>
        <w:t>无</w:t>
      </w:r>
      <w:r>
        <w:rPr>
          <w:rFonts w:ascii="仿宋_GB2312" w:hAnsi="仿宋_GB2312" w:eastAsia="仿宋_GB2312" w:cs="仿宋_GB2312"/>
          <w:color w:val="000000"/>
          <w:kern w:val="0"/>
          <w:sz w:val="27"/>
          <w:szCs w:val="27"/>
        </w:rPr>
        <w:t>国有资本经营预算财政拨款支出</w:t>
      </w:r>
      <w:r>
        <w:rPr>
          <w:rFonts w:hint="eastAsia" w:ascii="仿宋_GB2312" w:hAnsi="仿宋_GB2312" w:eastAsia="仿宋_GB2312" w:cs="仿宋_GB2312"/>
          <w:color w:val="000000"/>
          <w:kern w:val="0"/>
          <w:sz w:val="27"/>
          <w:szCs w:val="27"/>
          <w:lang w:eastAsia="zh-CN"/>
        </w:rPr>
        <w:t>。</w:t>
      </w:r>
    </w:p>
    <w:p>
      <w:pPr>
        <w:widowControl/>
        <w:spacing w:before="240" w:after="240"/>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十一、机关运行经费（公用经费）支出决算情况说明</w:t>
      </w:r>
    </w:p>
    <w:p>
      <w:pPr>
        <w:widowControl/>
        <w:spacing w:before="240" w:after="240"/>
        <w:rPr>
          <w:rFonts w:ascii="仿宋_GB2312" w:hAnsi="仿宋_GB2312" w:eastAsia="仿宋_GB2312" w:cs="仿宋_GB2312"/>
          <w:color w:val="000000"/>
          <w:kern w:val="0"/>
          <w:sz w:val="27"/>
          <w:szCs w:val="27"/>
        </w:rPr>
      </w:pPr>
      <w:r>
        <w:rPr>
          <w:rFonts w:ascii="仿宋_GB2312" w:hAnsi="仿宋_GB2312" w:eastAsia="仿宋_GB2312" w:cs="仿宋_GB2312"/>
          <w:color w:val="000000"/>
          <w:kern w:val="0"/>
          <w:sz w:val="27"/>
          <w:szCs w:val="27"/>
        </w:rPr>
        <w:t>内蒙古自治区巴彦淖尔市医院 2024年度公用经费支出决算</w:t>
      </w:r>
      <w:r>
        <w:rPr>
          <w:rFonts w:eastAsia="Times New Roman"/>
          <w:color w:val="000000"/>
          <w:kern w:val="0"/>
          <w:sz w:val="27"/>
          <w:szCs w:val="27"/>
          <w:u w:val="single" w:color="000000"/>
        </w:rPr>
        <w:t xml:space="preserve"> 54273.17</w:t>
      </w:r>
      <w:r>
        <w:rPr>
          <w:rFonts w:ascii="仿宋_GB2312" w:hAnsi="仿宋_GB2312" w:eastAsia="仿宋_GB2312" w:cs="仿宋_GB2312"/>
          <w:color w:val="000000"/>
          <w:kern w:val="0"/>
          <w:sz w:val="27"/>
          <w:szCs w:val="27"/>
        </w:rPr>
        <w:t>万元，与上年决算相比，减少</w:t>
      </w:r>
      <w:r>
        <w:rPr>
          <w:rFonts w:eastAsia="Times New Roman"/>
          <w:color w:val="000000"/>
          <w:kern w:val="0"/>
          <w:sz w:val="27"/>
          <w:szCs w:val="27"/>
          <w:u w:val="single" w:color="000000"/>
        </w:rPr>
        <w:t xml:space="preserve"> 36114.77</w:t>
      </w:r>
      <w:r>
        <w:rPr>
          <w:rFonts w:ascii="仿宋_GB2312" w:hAnsi="仿宋_GB2312" w:eastAsia="仿宋_GB2312" w:cs="仿宋_GB2312"/>
          <w:color w:val="000000"/>
          <w:kern w:val="0"/>
          <w:sz w:val="27"/>
          <w:szCs w:val="27"/>
        </w:rPr>
        <w:t>万元，下降</w:t>
      </w:r>
      <w:r>
        <w:rPr>
          <w:rFonts w:eastAsia="Times New Roman"/>
          <w:color w:val="000000"/>
          <w:kern w:val="0"/>
          <w:sz w:val="27"/>
          <w:szCs w:val="27"/>
          <w:u w:val="single" w:color="000000"/>
        </w:rPr>
        <w:t xml:space="preserve"> 39.96</w:t>
      </w:r>
      <w:r>
        <w:rPr>
          <w:rFonts w:ascii="仿宋_GB2312" w:hAnsi="仿宋_GB2312" w:eastAsia="仿宋_GB2312" w:cs="仿宋_GB2312"/>
          <w:color w:val="000000"/>
          <w:kern w:val="0"/>
          <w:sz w:val="27"/>
          <w:szCs w:val="27"/>
        </w:rPr>
        <w:t>%，变动原因：</w:t>
      </w:r>
      <w:r>
        <w:rPr>
          <w:rFonts w:hint="eastAsia" w:ascii="仿宋_GB2312" w:hAnsi="仿宋_GB2312" w:eastAsia="仿宋_GB2312" w:cs="仿宋_GB2312"/>
          <w:color w:val="000000"/>
          <w:kern w:val="0"/>
          <w:sz w:val="27"/>
          <w:szCs w:val="27"/>
          <w:lang w:val="en-US" w:eastAsia="zh-CN"/>
        </w:rPr>
        <w:t>2023年疫情结束，医院患者急增，收支增幅较大，2024年患者就诊量趋于平稳，收支较2023年有所回落</w:t>
      </w:r>
      <w:r>
        <w:rPr>
          <w:rFonts w:ascii="仿宋_GB2312" w:hAnsi="仿宋_GB2312" w:eastAsia="仿宋_GB2312" w:cs="仿宋_GB2312"/>
          <w:color w:val="000000"/>
          <w:kern w:val="0"/>
          <w:sz w:val="27"/>
          <w:szCs w:val="27"/>
        </w:rPr>
        <w:t>。</w:t>
      </w:r>
      <w:r>
        <w:rPr>
          <w:rFonts w:hint="eastAsia" w:ascii="仿宋_GB2312" w:hAnsi="仿宋_GB2312" w:eastAsia="仿宋_GB2312" w:cs="仿宋_GB2312"/>
          <w:color w:val="000000"/>
          <w:kern w:val="0"/>
          <w:sz w:val="27"/>
          <w:szCs w:val="27"/>
          <w:lang w:val="en-US" w:eastAsia="zh-CN"/>
        </w:rPr>
        <w:t>因此，</w:t>
      </w:r>
      <w:r>
        <w:rPr>
          <w:rFonts w:ascii="仿宋_GB2312" w:hAnsi="仿宋_GB2312" w:eastAsia="仿宋_GB2312" w:cs="仿宋_GB2312"/>
          <w:color w:val="000000"/>
          <w:kern w:val="0"/>
          <w:sz w:val="27"/>
          <w:szCs w:val="27"/>
        </w:rPr>
        <w:t>2024年度公用经费支出</w:t>
      </w:r>
      <w:r>
        <w:rPr>
          <w:rFonts w:hint="eastAsia" w:ascii="仿宋_GB2312" w:hAnsi="仿宋_GB2312" w:eastAsia="仿宋_GB2312" w:cs="仿宋_GB2312"/>
          <w:color w:val="000000"/>
          <w:kern w:val="0"/>
          <w:sz w:val="27"/>
          <w:szCs w:val="27"/>
          <w:lang w:val="en-US" w:eastAsia="zh-CN"/>
        </w:rPr>
        <w:t>中药品费、材料费等支出比上年减少。</w:t>
      </w:r>
      <w:bookmarkStart w:id="1" w:name="_GoBack"/>
      <w:bookmarkEnd w:id="1"/>
    </w:p>
    <w:p>
      <w:pPr>
        <w:widowControl/>
        <w:spacing w:before="240" w:after="240"/>
        <w:ind w:firstLine="428"/>
        <w:rPr>
          <w:rFonts w:ascii="Times New Roman" w:hAnsi="Times New Roman" w:eastAsia="Times New Roman" w:cs="Times New Roman"/>
          <w:kern w:val="0"/>
          <w:sz w:val="24"/>
        </w:rPr>
      </w:pPr>
      <w:r>
        <w:rPr>
          <w:rFonts w:ascii="黑体" w:hAnsi="黑体" w:eastAsia="黑体" w:cs="黑体"/>
          <w:b/>
          <w:bCs/>
          <w:kern w:val="0"/>
          <w:sz w:val="27"/>
          <w:szCs w:val="27"/>
        </w:rPr>
        <w:t>十二、政府采购支出决算情况说明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内蒙古自治区巴彦淖尔市医院 </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年度政府采购支出总额</w:t>
      </w:r>
      <w:r>
        <w:rPr>
          <w:rFonts w:ascii="times_new_roman" w:hAnsi="times_new_roman" w:eastAsia="times_new_roman" w:cs="times_new_roman"/>
          <w:color w:val="000000"/>
          <w:kern w:val="0"/>
          <w:sz w:val="27"/>
          <w:szCs w:val="27"/>
          <w:u w:val="single" w:color="000000"/>
        </w:rPr>
        <w:t> 3662.16</w:t>
      </w:r>
      <w:r>
        <w:rPr>
          <w:rFonts w:ascii="仿宋_GB2312" w:hAnsi="仿宋_GB2312" w:eastAsia="仿宋_GB2312" w:cs="仿宋_GB2312"/>
          <w:color w:val="000000"/>
          <w:kern w:val="0"/>
          <w:sz w:val="27"/>
          <w:szCs w:val="27"/>
        </w:rPr>
        <w:t>万元，其中：政府采购货物支出</w:t>
      </w:r>
      <w:r>
        <w:rPr>
          <w:rFonts w:ascii="times_new_roman" w:hAnsi="times_new_roman" w:eastAsia="times_new_roman" w:cs="times_new_roman"/>
          <w:color w:val="000000"/>
          <w:kern w:val="0"/>
          <w:sz w:val="27"/>
          <w:szCs w:val="27"/>
          <w:u w:val="single" w:color="000000"/>
        </w:rPr>
        <w:t> 589.94</w:t>
      </w:r>
      <w:r>
        <w:rPr>
          <w:rFonts w:ascii="仿宋_GB2312" w:hAnsi="仿宋_GB2312" w:eastAsia="仿宋_GB2312" w:cs="仿宋_GB2312"/>
          <w:color w:val="000000"/>
          <w:kern w:val="0"/>
          <w:sz w:val="27"/>
          <w:szCs w:val="27"/>
        </w:rPr>
        <w:t>万元、政府采购工程支出</w:t>
      </w:r>
      <w:r>
        <w:rPr>
          <w:rFonts w:ascii="times_new_roman" w:hAnsi="times_new_roman" w:eastAsia="times_new_roman" w:cs="times_new_roman"/>
          <w:color w:val="000000"/>
          <w:kern w:val="0"/>
          <w:sz w:val="27"/>
          <w:szCs w:val="27"/>
          <w:u w:val="single" w:color="000000"/>
        </w:rPr>
        <w:t> 150.60</w:t>
      </w:r>
      <w:r>
        <w:rPr>
          <w:rFonts w:ascii="仿宋_GB2312" w:hAnsi="仿宋_GB2312" w:eastAsia="仿宋_GB2312" w:cs="仿宋_GB2312"/>
          <w:color w:val="000000"/>
          <w:kern w:val="0"/>
          <w:sz w:val="27"/>
          <w:szCs w:val="27"/>
        </w:rPr>
        <w:t>万元、政府采购服务支出</w:t>
      </w:r>
      <w:r>
        <w:rPr>
          <w:rFonts w:ascii="times_new_roman" w:hAnsi="times_new_roman" w:eastAsia="times_new_roman" w:cs="times_new_roman"/>
          <w:color w:val="000000"/>
          <w:kern w:val="0"/>
          <w:sz w:val="27"/>
          <w:szCs w:val="27"/>
          <w:u w:val="single" w:color="000000"/>
        </w:rPr>
        <w:t> 2921.63</w:t>
      </w:r>
      <w:r>
        <w:rPr>
          <w:rFonts w:ascii="仿宋_GB2312" w:hAnsi="仿宋_GB2312" w:eastAsia="仿宋_GB2312" w:cs="仿宋_GB2312"/>
          <w:color w:val="000000"/>
          <w:kern w:val="0"/>
          <w:sz w:val="27"/>
          <w:szCs w:val="27"/>
        </w:rPr>
        <w:t>万元。政府采购授予中小企业合同金额</w:t>
      </w:r>
      <w:r>
        <w:rPr>
          <w:rFonts w:ascii="times_new_roman" w:hAnsi="times_new_roman" w:eastAsia="times_new_roman" w:cs="times_new_roman"/>
          <w:color w:val="000000"/>
          <w:kern w:val="0"/>
          <w:sz w:val="27"/>
          <w:szCs w:val="27"/>
          <w:u w:val="single" w:color="000000"/>
        </w:rPr>
        <w:t> 576.83</w:t>
      </w:r>
      <w:r>
        <w:rPr>
          <w:rFonts w:ascii="仿宋_GB2312" w:hAnsi="仿宋_GB2312" w:eastAsia="仿宋_GB2312" w:cs="仿宋_GB2312"/>
          <w:color w:val="000000"/>
          <w:kern w:val="0"/>
          <w:sz w:val="27"/>
          <w:szCs w:val="27"/>
        </w:rPr>
        <w:t>万元，其中：授予小微企业合同金额</w:t>
      </w:r>
      <w:r>
        <w:rPr>
          <w:rFonts w:ascii="times_new_roman" w:hAnsi="times_new_roman" w:eastAsia="times_new_roman" w:cs="times_new_roman"/>
          <w:color w:val="000000"/>
          <w:kern w:val="0"/>
          <w:sz w:val="27"/>
          <w:szCs w:val="27"/>
          <w:u w:val="single" w:color="000000"/>
        </w:rPr>
        <w:t>  576.83</w:t>
      </w:r>
      <w:r>
        <w:rPr>
          <w:rFonts w:ascii="仿宋_GB2312" w:hAnsi="仿宋_GB2312" w:eastAsia="仿宋_GB2312" w:cs="仿宋_GB2312"/>
          <w:color w:val="000000"/>
          <w:kern w:val="0"/>
          <w:sz w:val="27"/>
          <w:szCs w:val="27"/>
        </w:rPr>
        <w:t>万元。</w:t>
      </w:r>
    </w:p>
    <w:p>
      <w:pPr>
        <w:widowControl/>
        <w:spacing w:before="240" w:after="240"/>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十三、国有资产占用情况说明</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xml:space="preserve"> 内蒙古自治区巴彦淖尔市医院 截至</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w:t>
      </w:r>
      <w:r>
        <w:rPr>
          <w:rFonts w:ascii="times_new_roman" w:hAnsi="times_new_roman" w:eastAsia="times_new_roman" w:cs="times_new_roman"/>
          <w:color w:val="000000"/>
          <w:kern w:val="0"/>
          <w:sz w:val="27"/>
          <w:szCs w:val="27"/>
        </w:rPr>
        <w:t>12</w:t>
      </w:r>
      <w:r>
        <w:rPr>
          <w:rFonts w:ascii="仿宋_GB2312" w:hAnsi="仿宋_GB2312" w:eastAsia="仿宋_GB2312" w:cs="仿宋_GB2312"/>
          <w:color w:val="000000"/>
          <w:kern w:val="0"/>
          <w:sz w:val="27"/>
          <w:szCs w:val="27"/>
        </w:rPr>
        <w:t>月</w:t>
      </w:r>
      <w:r>
        <w:rPr>
          <w:rFonts w:ascii="times_new_roman" w:hAnsi="times_new_roman" w:eastAsia="times_new_roman" w:cs="times_new_roman"/>
          <w:color w:val="000000"/>
          <w:kern w:val="0"/>
          <w:sz w:val="27"/>
          <w:szCs w:val="27"/>
        </w:rPr>
        <w:t>31</w:t>
      </w:r>
      <w:r>
        <w:rPr>
          <w:rFonts w:ascii="仿宋_GB2312" w:hAnsi="仿宋_GB2312" w:eastAsia="仿宋_GB2312" w:cs="仿宋_GB2312"/>
          <w:color w:val="000000"/>
          <w:kern w:val="0"/>
          <w:sz w:val="27"/>
          <w:szCs w:val="27"/>
        </w:rPr>
        <w:t>日，本部门（单位）共有车辆</w:t>
      </w:r>
      <w:r>
        <w:rPr>
          <w:rFonts w:ascii="times_new_roman" w:hAnsi="times_new_roman" w:eastAsia="times_new_roman" w:cs="times_new_roman"/>
          <w:color w:val="000000"/>
          <w:kern w:val="0"/>
          <w:sz w:val="27"/>
          <w:szCs w:val="27"/>
          <w:u w:val="single" w:color="000000"/>
        </w:rPr>
        <w:t> 23</w:t>
      </w:r>
      <w:r>
        <w:rPr>
          <w:rFonts w:ascii="仿宋_GB2312" w:hAnsi="仿宋_GB2312" w:eastAsia="仿宋_GB2312" w:cs="仿宋_GB2312"/>
          <w:color w:val="000000"/>
          <w:kern w:val="0"/>
          <w:sz w:val="27"/>
          <w:szCs w:val="27"/>
        </w:rPr>
        <w:t>辆，其中：副部（省）级及以上领导用车</w:t>
      </w:r>
      <w:r>
        <w:rPr>
          <w:rFonts w:ascii="times_new_roman" w:hAnsi="times_new_roman" w:eastAsia="times_new_roman" w:cs="times_new_roman"/>
          <w:color w:val="000000"/>
          <w:kern w:val="0"/>
          <w:sz w:val="27"/>
          <w:szCs w:val="27"/>
          <w:u w:val="single" w:color="000000"/>
        </w:rPr>
        <w:t>0 </w:t>
      </w:r>
      <w:r>
        <w:rPr>
          <w:rFonts w:ascii="仿宋_GB2312" w:hAnsi="仿宋_GB2312" w:eastAsia="仿宋_GB2312" w:cs="仿宋_GB2312"/>
          <w:color w:val="000000"/>
          <w:kern w:val="0"/>
          <w:sz w:val="27"/>
          <w:szCs w:val="27"/>
        </w:rPr>
        <w:t>辆、主要负责人用车</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辆、机要通信用车</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辆、应急保障用车</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辆、执法执勤用车</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辆、特种专业技术用车</w:t>
      </w:r>
      <w:r>
        <w:rPr>
          <w:rFonts w:ascii="times_new_roman" w:hAnsi="times_new_roman" w:eastAsia="times_new_roman" w:cs="times_new_roman"/>
          <w:color w:val="000000"/>
          <w:kern w:val="0"/>
          <w:sz w:val="27"/>
          <w:szCs w:val="27"/>
          <w:u w:val="single" w:color="000000"/>
        </w:rPr>
        <w:t> 14</w:t>
      </w:r>
      <w:r>
        <w:rPr>
          <w:rFonts w:ascii="仿宋_GB2312" w:hAnsi="仿宋_GB2312" w:eastAsia="仿宋_GB2312" w:cs="仿宋_GB2312"/>
          <w:color w:val="000000"/>
          <w:kern w:val="0"/>
          <w:sz w:val="27"/>
          <w:szCs w:val="27"/>
        </w:rPr>
        <w:t>辆、离退休干部服务用车</w:t>
      </w:r>
      <w:r>
        <w:rPr>
          <w:rFonts w:ascii="times_new_roman" w:hAnsi="times_new_roman" w:eastAsia="times_new_roman" w:cs="times_new_roman"/>
          <w:color w:val="000000"/>
          <w:kern w:val="0"/>
          <w:sz w:val="27"/>
          <w:szCs w:val="27"/>
          <w:u w:val="single" w:color="000000"/>
        </w:rPr>
        <w:t> 0</w:t>
      </w:r>
      <w:r>
        <w:rPr>
          <w:rFonts w:ascii="仿宋_GB2312" w:hAnsi="仿宋_GB2312" w:eastAsia="仿宋_GB2312" w:cs="仿宋_GB2312"/>
          <w:color w:val="000000"/>
          <w:kern w:val="0"/>
          <w:sz w:val="27"/>
          <w:szCs w:val="27"/>
        </w:rPr>
        <w:t>辆，其他用车</w:t>
      </w:r>
      <w:r>
        <w:rPr>
          <w:rFonts w:ascii="times_new_roman" w:hAnsi="times_new_roman" w:eastAsia="times_new_roman" w:cs="times_new_roman"/>
          <w:color w:val="000000"/>
          <w:kern w:val="0"/>
          <w:sz w:val="27"/>
          <w:szCs w:val="27"/>
          <w:u w:val="single" w:color="000000"/>
        </w:rPr>
        <w:t> 9</w:t>
      </w:r>
      <w:r>
        <w:rPr>
          <w:rFonts w:ascii="仿宋_GB2312" w:hAnsi="仿宋_GB2312" w:eastAsia="仿宋_GB2312" w:cs="仿宋_GB2312"/>
          <w:color w:val="000000"/>
          <w:kern w:val="0"/>
          <w:sz w:val="27"/>
          <w:szCs w:val="27"/>
        </w:rPr>
        <w:t>辆；单价100万元（含）以上的设备（不含车辆）</w:t>
      </w:r>
      <w:r>
        <w:rPr>
          <w:rFonts w:ascii="times_new_roman" w:hAnsi="times_new_roman" w:eastAsia="times_new_roman" w:cs="times_new_roman"/>
          <w:color w:val="000000"/>
          <w:kern w:val="0"/>
          <w:sz w:val="27"/>
          <w:szCs w:val="27"/>
          <w:u w:val="single" w:color="000000"/>
        </w:rPr>
        <w:t> 144</w:t>
      </w:r>
      <w:r>
        <w:rPr>
          <w:rFonts w:ascii="仿宋_GB2312" w:hAnsi="仿宋_GB2312" w:eastAsia="仿宋_GB2312" w:cs="仿宋_GB2312"/>
          <w:color w:val="000000"/>
          <w:kern w:val="0"/>
          <w:sz w:val="27"/>
          <w:szCs w:val="27"/>
        </w:rPr>
        <w:t>台（套）。</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十四、预算绩效情况说明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（一）预算绩效管理工作开展情况。</w:t>
      </w:r>
    </w:p>
    <w:p>
      <w:pPr>
        <w:widowControl/>
        <w:spacing w:before="240" w:after="240"/>
        <w:rPr>
          <w:rFonts w:hint="eastAsia" w:ascii="Times New Roman" w:hAnsi="Times New Roman" w:eastAsia="仿宋_GB2312" w:cs="Times New Roman"/>
          <w:kern w:val="0"/>
          <w:sz w:val="24"/>
          <w:lang w:eastAsia="zh-CN"/>
        </w:rPr>
      </w:pPr>
      <w:r>
        <w:rPr>
          <w:rFonts w:ascii="仿宋_GB2312" w:hAnsi="仿宋_GB2312" w:eastAsia="仿宋_GB2312" w:cs="仿宋_GB2312"/>
          <w:kern w:val="0"/>
          <w:sz w:val="27"/>
          <w:szCs w:val="27"/>
        </w:rPr>
        <w:t xml:space="preserve">    </w:t>
      </w:r>
      <w:r>
        <w:rPr>
          <w:rFonts w:ascii="仿宋_GB2312" w:hAnsi="仿宋_GB2312" w:eastAsia="仿宋_GB2312" w:cs="仿宋_GB2312"/>
          <w:color w:val="000000"/>
          <w:kern w:val="0"/>
          <w:sz w:val="27"/>
          <w:szCs w:val="27"/>
        </w:rPr>
        <w:t>内蒙古自治区巴彦淖尔市医院 根据预算绩效管理要求组织对</w:t>
      </w:r>
      <w:r>
        <w:rPr>
          <w:rFonts w:ascii="times_new_roman" w:hAnsi="times_new_roman" w:eastAsia="times_new_roman" w:cs="times_new_roman"/>
          <w:color w:val="000000"/>
          <w:kern w:val="0"/>
          <w:sz w:val="27"/>
          <w:szCs w:val="27"/>
        </w:rPr>
        <w:t>2024</w:t>
      </w:r>
      <w:r>
        <w:rPr>
          <w:rFonts w:ascii="仿宋_GB2312" w:hAnsi="仿宋_GB2312" w:eastAsia="仿宋_GB2312" w:cs="仿宋_GB2312"/>
          <w:color w:val="000000"/>
          <w:kern w:val="0"/>
          <w:sz w:val="27"/>
          <w:szCs w:val="27"/>
        </w:rPr>
        <w:t>年一般公共预算项目支出</w:t>
      </w:r>
      <w:r>
        <w:rPr>
          <w:rFonts w:hint="eastAsia" w:ascii="仿宋_GB2312" w:hAnsi="仿宋_GB2312" w:eastAsia="仿宋_GB2312" w:cs="仿宋_GB2312"/>
          <w:color w:val="000000"/>
          <w:kern w:val="0"/>
          <w:sz w:val="27"/>
          <w:szCs w:val="27"/>
          <w:lang w:eastAsia="zh-CN"/>
        </w:rPr>
        <w:t>未</w:t>
      </w:r>
      <w:r>
        <w:rPr>
          <w:rFonts w:ascii="仿宋_GB2312" w:hAnsi="仿宋_GB2312" w:eastAsia="仿宋_GB2312" w:cs="仿宋_GB2312"/>
          <w:color w:val="000000"/>
          <w:kern w:val="0"/>
          <w:sz w:val="27"/>
          <w:szCs w:val="27"/>
        </w:rPr>
        <w:t>全面开展绩效自评</w:t>
      </w:r>
      <w:r>
        <w:rPr>
          <w:rFonts w:hint="eastAsia" w:ascii="仿宋_GB2312" w:hAnsi="仿宋_GB2312" w:eastAsia="仿宋_GB2312" w:cs="仿宋_GB2312"/>
          <w:color w:val="000000"/>
          <w:kern w:val="0"/>
          <w:sz w:val="27"/>
          <w:szCs w:val="27"/>
          <w:lang w:eastAsia="zh-CN"/>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（二）部门（单位）决算中项目绩效自评结果。</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（三）部门项目绩效评价结果。</w:t>
      </w: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仿宋_GB2312" w:hAnsi="仿宋_GB2312" w:eastAsia="仿宋_GB2312" w:cs="仿宋_GB2312"/>
          <w:kern w:val="0"/>
          <w:sz w:val="27"/>
          <w:szCs w:val="27"/>
        </w:rPr>
        <w:t> </w:t>
      </w:r>
      <w:r>
        <w:rPr>
          <w:rFonts w:ascii="fang_zheng_xiao_biao_song_ti" w:hAnsi="fang_zheng_xiao_biao_song_ti" w:eastAsia="fang_zheng_xiao_biao_song_ti" w:cs="fang_zheng_xiao_biao_song_ti"/>
          <w:kern w:val="0"/>
          <w:sz w:val="36"/>
          <w:szCs w:val="36"/>
        </w:rPr>
        <w:t>第三部分 名词解释</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一、财政拨款收入：</w:t>
      </w:r>
      <w:r>
        <w:rPr>
          <w:rFonts w:ascii="仿宋_GB2312" w:hAnsi="仿宋_GB2312" w:eastAsia="仿宋_GB2312" w:cs="仿宋_GB2312"/>
          <w:kern w:val="0"/>
          <w:sz w:val="27"/>
          <w:szCs w:val="27"/>
        </w:rPr>
        <w:t>从同级财政部门取得的各类财政拨款，包括一般公共预算财政拨款、政府性基金预算财政拨款、国有资本经营预算财政拨款。</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二、上级补助收入：</w:t>
      </w:r>
      <w:r>
        <w:rPr>
          <w:rFonts w:ascii="仿宋_GB2312" w:hAnsi="仿宋_GB2312" w:eastAsia="仿宋_GB2312" w:cs="仿宋_GB2312"/>
          <w:kern w:val="0"/>
          <w:sz w:val="27"/>
          <w:szCs w:val="27"/>
        </w:rPr>
        <w:t>指事业单位从主管部门和上级单位取得的非财政补助收入。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三、财政专户管理教育收费：</w:t>
      </w:r>
      <w:r>
        <w:rPr>
          <w:rFonts w:ascii="仿宋_GB2312" w:hAnsi="仿宋_GB2312" w:eastAsia="仿宋_GB2312" w:cs="仿宋_GB2312"/>
          <w:kern w:val="0"/>
          <w:sz w:val="27"/>
          <w:szCs w:val="27"/>
        </w:rPr>
        <w:t>指缴入财政专户、实行专项管理的高中以上学费、住宿费、高校委托培养费、函大、电大、夜大及短训班培训费等教育收费。</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四、事业收入：</w:t>
      </w:r>
      <w:r>
        <w:rPr>
          <w:rFonts w:ascii="仿宋_GB2312" w:hAnsi="仿宋_GB2312" w:eastAsia="仿宋_GB2312" w:cs="仿宋_GB2312"/>
          <w:kern w:val="0"/>
          <w:sz w:val="27"/>
          <w:szCs w:val="27"/>
        </w:rPr>
        <w:t>指事业单位开展专业业务活动及其辅助活动取得的收入。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五、经营收入：</w:t>
      </w:r>
      <w:r>
        <w:rPr>
          <w:rFonts w:ascii="仿宋_GB2312" w:hAnsi="仿宋_GB2312" w:eastAsia="仿宋_GB2312" w:cs="仿宋_GB2312"/>
          <w:kern w:val="0"/>
          <w:sz w:val="27"/>
          <w:szCs w:val="27"/>
        </w:rPr>
        <w:t>指事业单位在专业业务活动及其辅助活动之外开展非独立核算经营活动取得的收入。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六、附属单位上缴收入：</w:t>
      </w:r>
      <w:r>
        <w:rPr>
          <w:rFonts w:ascii="仿宋_GB2312" w:hAnsi="仿宋_GB2312" w:eastAsia="仿宋_GB2312" w:cs="仿宋_GB2312"/>
          <w:kern w:val="0"/>
          <w:sz w:val="27"/>
          <w:szCs w:val="27"/>
        </w:rPr>
        <w:t>指事业单位取得附属独立核算单位按照有关规定上缴的收入。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七、其他收入：</w:t>
      </w:r>
      <w:r>
        <w:rPr>
          <w:rFonts w:ascii="仿宋_GB2312" w:hAnsi="仿宋_GB2312" w:eastAsia="仿宋_GB2312" w:cs="仿宋_GB2312"/>
          <w:kern w:val="0"/>
          <w:sz w:val="27"/>
          <w:szCs w:val="27"/>
        </w:rPr>
        <w:t>取得的除上述财政拨款收入、上级补助收入、事业收入、经营收入、附属单位上缴收入等以外的各项收入。</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八、使用非财政拨款结余（含专用结余）：</w:t>
      </w:r>
      <w:r>
        <w:rPr>
          <w:rFonts w:ascii="仿宋_GB2312" w:hAnsi="仿宋_GB2312" w:eastAsia="仿宋_GB2312" w:cs="仿宋_GB2312"/>
          <w:kern w:val="0"/>
          <w:sz w:val="27"/>
          <w:szCs w:val="27"/>
        </w:rPr>
        <w:t>指事业单位按照预算管理要求使用非财政拨款结余</w:t>
      </w:r>
      <w:r>
        <w:rPr>
          <w:rFonts w:ascii="仿宋_GB2312" w:hAnsi="仿宋_GB2312" w:eastAsia="仿宋_GB2312" w:cs="仿宋_GB2312"/>
          <w:color w:val="000000"/>
          <w:kern w:val="0"/>
          <w:sz w:val="27"/>
          <w:szCs w:val="27"/>
        </w:rPr>
        <w:t>弥补收支差额的金额，以及使用专用结余安排支出的金额。</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九、年初结转和结余：</w:t>
      </w:r>
      <w:r>
        <w:rPr>
          <w:rFonts w:ascii="仿宋_GB2312" w:hAnsi="仿宋_GB2312" w:eastAsia="仿宋_GB2312" w:cs="仿宋_GB2312"/>
          <w:kern w:val="0"/>
          <w:sz w:val="27"/>
          <w:szCs w:val="27"/>
        </w:rPr>
        <w:t>指单位上年结转本年使用的基本支出结转、项目支出结转和结余、经营结余。</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十、结余分配：</w:t>
      </w:r>
      <w:r>
        <w:rPr>
          <w:rFonts w:ascii="仿宋_GB2312" w:hAnsi="仿宋_GB2312" w:eastAsia="仿宋_GB2312" w:cs="仿宋_GB2312"/>
          <w:kern w:val="0"/>
          <w:sz w:val="27"/>
          <w:szCs w:val="27"/>
        </w:rPr>
        <w:t>指单位按规定缴纳企业所得税以及从非财政拨款结余或经营结余中提取各类结余的情况。</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十一、年末结转和结余资金：</w:t>
      </w:r>
      <w:r>
        <w:rPr>
          <w:rFonts w:ascii="仿宋_GB2312" w:hAnsi="仿宋_GB2312" w:eastAsia="仿宋_GB2312" w:cs="仿宋_GB2312"/>
          <w:kern w:val="0"/>
          <w:sz w:val="27"/>
          <w:szCs w:val="27"/>
        </w:rPr>
        <w:t>指单位结转下年的基本支出结转、项目支出结转和结余、经营结余。</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十二、基本支出：</w:t>
      </w:r>
      <w:r>
        <w:rPr>
          <w:rFonts w:ascii="仿宋_GB2312" w:hAnsi="仿宋_GB2312" w:eastAsia="仿宋_GB2312" w:cs="仿宋_GB2312"/>
          <w:kern w:val="0"/>
          <w:sz w:val="27"/>
          <w:szCs w:val="27"/>
        </w:rPr>
        <w:t>指为保障机构正常运转、完成日常工作任务所发生的支出，包括人员经费和公用经费。</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十三、项目支出：</w:t>
      </w:r>
      <w:r>
        <w:rPr>
          <w:rFonts w:ascii="仿宋_GB2312" w:hAnsi="仿宋_GB2312" w:eastAsia="仿宋_GB2312" w:cs="仿宋_GB2312"/>
          <w:kern w:val="0"/>
          <w:sz w:val="27"/>
          <w:szCs w:val="27"/>
        </w:rPr>
        <w:t>指在为完成特定的行政工作任务或事业发展目标所发生的支出。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十四、上缴上级支出：</w:t>
      </w:r>
      <w:r>
        <w:rPr>
          <w:rFonts w:ascii="仿宋_GB2312" w:hAnsi="仿宋_GB2312" w:eastAsia="仿宋_GB2312" w:cs="仿宋_GB2312"/>
          <w:kern w:val="0"/>
          <w:sz w:val="27"/>
          <w:szCs w:val="27"/>
        </w:rPr>
        <w:t>指事业单位按照财政部门和主管部门的规定上缴上级单位的支出。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十五、经营支出：</w:t>
      </w:r>
      <w:r>
        <w:rPr>
          <w:rFonts w:ascii="仿宋_GB2312" w:hAnsi="仿宋_GB2312" w:eastAsia="仿宋_GB2312" w:cs="仿宋_GB2312"/>
          <w:kern w:val="0"/>
          <w:sz w:val="27"/>
          <w:szCs w:val="27"/>
        </w:rPr>
        <w:t>指事业单位在专业业务活动及其辅助活动之外开展非独立核算经营活动发生的支出。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十六、对附属单位补助支出：</w:t>
      </w:r>
      <w:r>
        <w:rPr>
          <w:rFonts w:ascii="仿宋_GB2312" w:hAnsi="仿宋_GB2312" w:eastAsia="仿宋_GB2312" w:cs="仿宋_GB2312"/>
          <w:kern w:val="0"/>
          <w:sz w:val="27"/>
          <w:szCs w:val="27"/>
        </w:rPr>
        <w:t>指事业单位用财政拨款收入之外的收入对附属单位补助发生的支出。</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十七、“三公”经费：</w:t>
      </w:r>
      <w:r>
        <w:rPr>
          <w:rFonts w:ascii="仿宋_GB2312" w:hAnsi="仿宋_GB2312" w:eastAsia="仿宋_GB2312" w:cs="仿宋_GB2312"/>
          <w:kern w:val="0"/>
          <w:sz w:val="27"/>
          <w:szCs w:val="27"/>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十八、机关运行经费：</w:t>
      </w:r>
      <w:r>
        <w:rPr>
          <w:rFonts w:ascii="仿宋_GB2312" w:hAnsi="仿宋_GB2312" w:eastAsia="仿宋_GB2312" w:cs="仿宋_GB2312"/>
          <w:color w:val="000000"/>
          <w:kern w:val="0"/>
          <w:sz w:val="27"/>
          <w:szCs w:val="27"/>
        </w:rPr>
        <w:t>指行政单位和参照公务员法管理的事业单位财政拨款</w:t>
      </w:r>
      <w:r>
        <w:rPr>
          <w:rFonts w:ascii="仿宋_GB2312" w:hAnsi="仿宋_GB2312" w:eastAsia="仿宋_GB2312" w:cs="仿宋_GB2312"/>
          <w:kern w:val="0"/>
          <w:sz w:val="27"/>
          <w:szCs w:val="27"/>
        </w:rPr>
        <w:t>基本支出中的公用经费支出，包括办公及印刷费、邮电费、差旅费、会议费、福利费、日常维修费、专用材料及一般设备购置费、办公用房水电费、办公用房取暖费、办公用房物业管理费、公务用车运行维护费及其他费用等。</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color w:val="0E00FE"/>
          <w:kern w:val="0"/>
          <w:sz w:val="27"/>
          <w:szCs w:val="27"/>
        </w:rPr>
        <w:t xml:space="preserve">    </w:t>
      </w: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 决算公开联系方式及信息反馈渠道</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本部门（单位）决算公开信息反馈和联系方式：</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联系人：</w:t>
      </w:r>
      <w:r>
        <w:rPr>
          <w:rFonts w:ascii="仿宋_GB2312" w:hAnsi="仿宋_GB2312" w:eastAsia="仿宋_GB2312" w:cs="仿宋_GB2312"/>
          <w:kern w:val="0"/>
          <w:sz w:val="27"/>
          <w:szCs w:val="27"/>
          <w:u w:val="single"/>
        </w:rPr>
        <w:t>孙骞 </w:t>
      </w:r>
      <w:r>
        <w:rPr>
          <w:rFonts w:ascii="仿宋_GB2312" w:hAnsi="仿宋_GB2312" w:eastAsia="仿宋_GB2312" w:cs="仿宋_GB2312"/>
          <w:kern w:val="0"/>
          <w:sz w:val="27"/>
          <w:szCs w:val="27"/>
        </w:rPr>
        <w:t>          联系电话：</w:t>
      </w:r>
      <w:r>
        <w:rPr>
          <w:rFonts w:ascii="仿宋_GB2312" w:hAnsi="仿宋_GB2312" w:eastAsia="仿宋_GB2312" w:cs="仿宋_GB2312"/>
          <w:kern w:val="0"/>
          <w:sz w:val="27"/>
          <w:szCs w:val="27"/>
          <w:u w:val="single"/>
        </w:rPr>
        <w:t>0478-8780026- </w:t>
      </w:r>
    </w:p>
    <w:p>
      <w:pPr>
        <w:widowControl/>
        <w:spacing w:before="240" w:after="240"/>
        <w:jc w:val="left"/>
        <w:rPr>
          <w:rFonts w:ascii="Times New Roman" w:hAnsi="Times New Roman" w:eastAsia="Times New Roman" w:cs="Times New Roman"/>
          <w:kern w:val="0"/>
          <w:sz w:val="24"/>
        </w:rPr>
      </w:pPr>
    </w:p>
    <w:p>
      <w:pPr>
        <w:pStyle w:val="3"/>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第五部分 部门（单位）决算表</w:t>
      </w:r>
    </w:p>
    <w:p>
      <w:pPr>
        <w:widowControl/>
        <w:spacing w:before="240" w:after="240"/>
        <w:jc w:val="center"/>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见附件。</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bookmarkEnd w:id="0"/>
    <w:p>
      <w:pPr>
        <w:adjustRightInd w:val="0"/>
        <w:snapToGrid w:val="0"/>
        <w:rPr>
          <w:rFonts w:ascii="宋体" w:hAnsi="宋体"/>
          <w:b/>
          <w:sz w:val="32"/>
          <w:szCs w:val="32"/>
        </w:rPr>
      </w:pPr>
    </w:p>
    <w:p>
      <w:pPr>
        <w:adjustRightInd w:val="0"/>
        <w:snapToGrid w:val="0"/>
        <w:rPr>
          <w:rFonts w:ascii="宋体" w:hAnsi="宋体"/>
          <w:b/>
          <w:sz w:val="32"/>
          <w:szCs w:val="32"/>
        </w:rPr>
      </w:pPr>
    </w:p>
    <w:p>
      <w:pPr>
        <w:tabs>
          <w:tab w:val="left" w:pos="8415"/>
        </w:tabs>
      </w:pPr>
    </w:p>
    <w:sectPr>
      <w:footerReference r:id="rId4"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881018C-A994-4A58-A9D7-69436B23313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27B58CF-57FA-45F0-BD5B-795EA343CEE7}"/>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embedRegular r:id="rId3" w:fontKey="{F878F657-95C7-4035-ACAB-4B4174A2F437}"/>
  </w:font>
  <w:font w:name="仿宋">
    <w:panose1 w:val="02010609060101010101"/>
    <w:charset w:val="86"/>
    <w:family w:val="modern"/>
    <w:pitch w:val="default"/>
    <w:sig w:usb0="800002BF" w:usb1="38CF7CFA" w:usb2="00000016" w:usb3="00000000" w:csb0="00040001" w:csb1="00000000"/>
    <w:embedRegular r:id="rId4" w:fontKey="{D81EC2B4-42F2-4D5F-B324-43F9BFE79701}"/>
  </w:font>
  <w:font w:name="times_new_roman">
    <w:altName w:val="Segoe Print"/>
    <w:panose1 w:val="00000000000000000000"/>
    <w:charset w:val="00"/>
    <w:family w:val="auto"/>
    <w:pitch w:val="default"/>
    <w:sig w:usb0="00000000" w:usb1="00000000" w:usb2="00000000" w:usb3="00000000" w:csb0="00000000" w:csb1="00000000"/>
    <w:embedRegular r:id="rId5" w:fontKey="{D14C21DD-62ED-4342-8F83-4F9CC47EAE39}"/>
  </w:font>
  <w:font w:name="方正小标宋简体">
    <w:panose1 w:val="02000000000000000000"/>
    <w:charset w:val="86"/>
    <w:family w:val="auto"/>
    <w:pitch w:val="default"/>
    <w:sig w:usb0="00000001" w:usb1="08000000" w:usb2="00000000" w:usb3="00000000" w:csb0="00040000" w:csb1="00000000"/>
    <w:embedRegular r:id="rId6" w:fontKey="{F5E28B26-10CB-4CCC-A1FC-21C52631FEB9}"/>
  </w:font>
  <w:font w:name="fang_zheng_xiao_biao_song_ti">
    <w:altName w:val="Segoe Print"/>
    <w:panose1 w:val="00000000000000000000"/>
    <w:charset w:val="00"/>
    <w:family w:val="auto"/>
    <w:pitch w:val="default"/>
    <w:sig w:usb0="00000000" w:usb1="00000000" w:usb2="00000000" w:usb3="00000000" w:csb0="00000000" w:csb1="00000000"/>
    <w:embedRegular r:id="rId7" w:fontKey="{B1520D57-7A08-49F7-954A-BB02E954FC65}"/>
  </w:font>
  <w:font w:name="kai_ti_gb2312">
    <w:altName w:val="Segoe Print"/>
    <w:panose1 w:val="00000000000000000000"/>
    <w:charset w:val="00"/>
    <w:family w:val="auto"/>
    <w:pitch w:val="default"/>
    <w:sig w:usb0="00000000" w:usb1="00000000" w:usb2="00000000" w:usb3="00000000" w:csb0="00000000" w:csb1="00000000"/>
    <w:embedRegular r:id="rId8" w:fontKey="{000B1232-ADA8-47D3-9C75-A604B018AD7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 PAGE   \* MERGEFORMAT </w:instrText>
    </w:r>
    <w:r>
      <w:fldChar w:fldCharType="separate"/>
    </w:r>
    <w:r>
      <w:rPr>
        <w:lang w:val="zh-CN"/>
      </w:rPr>
      <w:t>25</w:t>
    </w:r>
    <w:r>
      <w:rPr>
        <w:lang w:val="zh-CN"/>
      </w:rPr>
      <w:fldChar w:fldCharType="end"/>
    </w:r>
  </w:p>
  <w:p>
    <w:pPr>
      <w:pStyle w:val="1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AwNGU5ODQ5Yzc0ZmUwZWYzM2I5ZDhlNjhhZjg5MGMifQ=="/>
  </w:docVars>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402A0"/>
    <w:rsid w:val="00762248"/>
    <w:rsid w:val="0078143C"/>
    <w:rsid w:val="00787000"/>
    <w:rsid w:val="007A7BA5"/>
    <w:rsid w:val="007B6706"/>
    <w:rsid w:val="007C1FDD"/>
    <w:rsid w:val="007D6292"/>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96390"/>
    <w:rsid w:val="00E219E7"/>
    <w:rsid w:val="00E30CE0"/>
    <w:rsid w:val="00E3602E"/>
    <w:rsid w:val="00E60D6A"/>
    <w:rsid w:val="00E73321"/>
    <w:rsid w:val="00E77EC0"/>
    <w:rsid w:val="00E914C1"/>
    <w:rsid w:val="00E97C37"/>
    <w:rsid w:val="00EE533B"/>
    <w:rsid w:val="00F03A2B"/>
    <w:rsid w:val="00F04882"/>
    <w:rsid w:val="00F63327"/>
    <w:rsid w:val="00F80A29"/>
    <w:rsid w:val="00FA7CA5"/>
    <w:rsid w:val="00FD08EC"/>
    <w:rsid w:val="00FD7690"/>
    <w:rsid w:val="03391357"/>
    <w:rsid w:val="03AE6BE8"/>
    <w:rsid w:val="03B94246"/>
    <w:rsid w:val="040C25C7"/>
    <w:rsid w:val="043C16E8"/>
    <w:rsid w:val="071E09B0"/>
    <w:rsid w:val="0C8F3D96"/>
    <w:rsid w:val="0E5139F9"/>
    <w:rsid w:val="120E078F"/>
    <w:rsid w:val="13257202"/>
    <w:rsid w:val="153B4ABB"/>
    <w:rsid w:val="15DD3DC4"/>
    <w:rsid w:val="16D74CB7"/>
    <w:rsid w:val="17B47418"/>
    <w:rsid w:val="19033B41"/>
    <w:rsid w:val="19265A82"/>
    <w:rsid w:val="19875E05"/>
    <w:rsid w:val="1A097D9A"/>
    <w:rsid w:val="1E4E1D03"/>
    <w:rsid w:val="215D225D"/>
    <w:rsid w:val="23767606"/>
    <w:rsid w:val="29D532D8"/>
    <w:rsid w:val="2AAF1DD1"/>
    <w:rsid w:val="2B6568DD"/>
    <w:rsid w:val="2CA6160D"/>
    <w:rsid w:val="2CF73565"/>
    <w:rsid w:val="302D729E"/>
    <w:rsid w:val="33902D14"/>
    <w:rsid w:val="33C127D5"/>
    <w:rsid w:val="3E0B0C1F"/>
    <w:rsid w:val="42010CB6"/>
    <w:rsid w:val="449A0F4E"/>
    <w:rsid w:val="45596713"/>
    <w:rsid w:val="4F912F4E"/>
    <w:rsid w:val="507F724A"/>
    <w:rsid w:val="51CD438B"/>
    <w:rsid w:val="51D610EC"/>
    <w:rsid w:val="525F7333"/>
    <w:rsid w:val="59CD1026"/>
    <w:rsid w:val="5AAE2C06"/>
    <w:rsid w:val="5AD05272"/>
    <w:rsid w:val="5B1F58B2"/>
    <w:rsid w:val="5BEA5EBF"/>
    <w:rsid w:val="5CD8040E"/>
    <w:rsid w:val="603D5158"/>
    <w:rsid w:val="60A631B2"/>
    <w:rsid w:val="60CC0D9D"/>
    <w:rsid w:val="61AB4343"/>
    <w:rsid w:val="638210D3"/>
    <w:rsid w:val="65681A08"/>
    <w:rsid w:val="663C269F"/>
    <w:rsid w:val="67D839B8"/>
    <w:rsid w:val="68923B67"/>
    <w:rsid w:val="697D570C"/>
    <w:rsid w:val="6A9E2C97"/>
    <w:rsid w:val="6B1765A5"/>
    <w:rsid w:val="6C2016AD"/>
    <w:rsid w:val="6CCB5899"/>
    <w:rsid w:val="6D194A59"/>
    <w:rsid w:val="71797099"/>
    <w:rsid w:val="73677AAD"/>
    <w:rsid w:val="75A153E9"/>
    <w:rsid w:val="77A2369A"/>
    <w:rsid w:val="7B073F40"/>
    <w:rsid w:val="7BC260B9"/>
    <w:rsid w:val="7C093C1A"/>
    <w:rsid w:val="7C815F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7"/>
    <w:qFormat/>
    <w:uiPriority w:val="0"/>
    <w:pPr>
      <w:keepNext/>
      <w:keepLines/>
      <w:spacing w:before="260" w:after="260" w:line="416" w:lineRule="auto"/>
      <w:outlineLvl w:val="2"/>
    </w:pPr>
    <w:rPr>
      <w:b/>
      <w:bCs/>
      <w:sz w:val="32"/>
      <w:szCs w:val="32"/>
    </w:rPr>
  </w:style>
  <w:style w:type="paragraph" w:styleId="5">
    <w:name w:val="heading 4"/>
    <w:basedOn w:val="1"/>
    <w:next w:val="1"/>
    <w:link w:val="22"/>
    <w:qFormat/>
    <w:uiPriority w:val="0"/>
    <w:pPr>
      <w:keepNext/>
      <w:keepLines/>
      <w:spacing w:before="280" w:after="290" w:line="376" w:lineRule="auto"/>
      <w:outlineLvl w:val="3"/>
    </w:pPr>
    <w:rPr>
      <w:rFonts w:ascii="Cambria" w:hAnsi="Cambria"/>
      <w:b/>
      <w:bCs/>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260"/>
      <w:jc w:val="left"/>
    </w:pPr>
    <w:rPr>
      <w:sz w:val="20"/>
      <w:szCs w:val="20"/>
    </w:rPr>
  </w:style>
  <w:style w:type="paragraph" w:styleId="7">
    <w:name w:val="Document Map"/>
    <w:basedOn w:val="1"/>
    <w:qFormat/>
    <w:uiPriority w:val="0"/>
    <w:pPr>
      <w:shd w:val="clear" w:color="auto" w:fill="000080"/>
    </w:pPr>
  </w:style>
  <w:style w:type="paragraph" w:styleId="8">
    <w:name w:val="toc 5"/>
    <w:basedOn w:val="1"/>
    <w:next w:val="1"/>
    <w:qFormat/>
    <w:uiPriority w:val="0"/>
    <w:pPr>
      <w:ind w:left="840"/>
      <w:jc w:val="left"/>
    </w:pPr>
    <w:rPr>
      <w:sz w:val="20"/>
      <w:szCs w:val="20"/>
    </w:rPr>
  </w:style>
  <w:style w:type="paragraph" w:styleId="9">
    <w:name w:val="toc 3"/>
    <w:basedOn w:val="1"/>
    <w:next w:val="1"/>
    <w:qFormat/>
    <w:uiPriority w:val="0"/>
    <w:pPr>
      <w:adjustRightInd w:val="0"/>
      <w:snapToGrid w:val="0"/>
      <w:spacing w:line="360" w:lineRule="auto"/>
      <w:ind w:firstLine="400" w:firstLineChars="400"/>
      <w:jc w:val="left"/>
    </w:pPr>
    <w:rPr>
      <w:sz w:val="24"/>
      <w:szCs w:val="20"/>
    </w:rPr>
  </w:style>
  <w:style w:type="paragraph" w:styleId="10">
    <w:name w:val="toc 8"/>
    <w:basedOn w:val="1"/>
    <w:next w:val="1"/>
    <w:qFormat/>
    <w:uiPriority w:val="0"/>
    <w:pPr>
      <w:ind w:left="1470"/>
      <w:jc w:val="left"/>
    </w:pPr>
    <w:rPr>
      <w:sz w:val="20"/>
      <w:szCs w:val="20"/>
    </w:rPr>
  </w:style>
  <w:style w:type="paragraph" w:styleId="11">
    <w:name w:val="footer"/>
    <w:basedOn w:val="1"/>
    <w:link w:val="25"/>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pPr>
      <w:adjustRightInd w:val="0"/>
      <w:snapToGrid w:val="0"/>
      <w:spacing w:line="360" w:lineRule="auto"/>
      <w:jc w:val="left"/>
    </w:pPr>
    <w:rPr>
      <w:b/>
      <w:bCs/>
      <w:sz w:val="24"/>
      <w:szCs w:val="20"/>
    </w:rPr>
  </w:style>
  <w:style w:type="paragraph" w:styleId="14">
    <w:name w:val="toc 4"/>
    <w:basedOn w:val="1"/>
    <w:next w:val="1"/>
    <w:qFormat/>
    <w:uiPriority w:val="0"/>
    <w:pPr>
      <w:ind w:left="630"/>
      <w:jc w:val="left"/>
    </w:pPr>
    <w:rPr>
      <w:sz w:val="20"/>
      <w:szCs w:val="20"/>
    </w:rPr>
  </w:style>
  <w:style w:type="paragraph" w:styleId="15">
    <w:name w:val="toc 6"/>
    <w:basedOn w:val="1"/>
    <w:next w:val="1"/>
    <w:qFormat/>
    <w:uiPriority w:val="0"/>
    <w:pPr>
      <w:ind w:left="1050"/>
      <w:jc w:val="left"/>
    </w:pPr>
    <w:rPr>
      <w:sz w:val="20"/>
      <w:szCs w:val="20"/>
    </w:rPr>
  </w:style>
  <w:style w:type="paragraph" w:styleId="16">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7">
    <w:name w:val="toc 9"/>
    <w:basedOn w:val="1"/>
    <w:next w:val="1"/>
    <w:qFormat/>
    <w:uiPriority w:val="0"/>
    <w:pPr>
      <w:ind w:left="1680"/>
      <w:jc w:val="left"/>
    </w:pPr>
    <w:rPr>
      <w:sz w:val="20"/>
      <w:szCs w:val="20"/>
    </w:rPr>
  </w:style>
  <w:style w:type="character" w:styleId="20">
    <w:name w:val="page number"/>
    <w:basedOn w:val="19"/>
    <w:qFormat/>
    <w:uiPriority w:val="0"/>
  </w:style>
  <w:style w:type="character" w:styleId="21">
    <w:name w:val="Hyperlink"/>
    <w:basedOn w:val="19"/>
    <w:qFormat/>
    <w:uiPriority w:val="0"/>
    <w:rPr>
      <w:color w:val="0000FF"/>
      <w:u w:val="single"/>
    </w:rPr>
  </w:style>
  <w:style w:type="character" w:customStyle="1" w:styleId="22">
    <w:name w:val="标题 4 Char"/>
    <w:basedOn w:val="19"/>
    <w:link w:val="5"/>
    <w:qFormat/>
    <w:uiPriority w:val="0"/>
    <w:rPr>
      <w:rFonts w:ascii="Cambria" w:hAnsi="Cambria"/>
      <w:b/>
      <w:bCs/>
      <w:kern w:val="2"/>
      <w:sz w:val="28"/>
      <w:szCs w:val="28"/>
    </w:rPr>
  </w:style>
  <w:style w:type="paragraph" w:styleId="23">
    <w:name w:val="No Spacing"/>
    <w:link w:val="24"/>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4">
    <w:name w:val="无间隔 Char"/>
    <w:link w:val="23"/>
    <w:qFormat/>
    <w:locked/>
    <w:uiPriority w:val="0"/>
    <w:rPr>
      <w:rFonts w:eastAsia="仿宋_GB2312"/>
      <w:sz w:val="30"/>
      <w:szCs w:val="22"/>
      <w:lang w:bidi="ar-SA"/>
    </w:rPr>
  </w:style>
  <w:style w:type="character" w:customStyle="1" w:styleId="25">
    <w:name w:val="页脚 Char"/>
    <w:basedOn w:val="19"/>
    <w:link w:val="11"/>
    <w:qFormat/>
    <w:uiPriority w:val="0"/>
    <w:rPr>
      <w:kern w:val="2"/>
      <w:sz w:val="18"/>
      <w:szCs w:val="18"/>
    </w:rPr>
  </w:style>
  <w:style w:type="paragraph" w:styleId="26">
    <w:name w:val="List Paragraph"/>
    <w:basedOn w:val="1"/>
    <w:qFormat/>
    <w:uiPriority w:val="0"/>
    <w:pPr>
      <w:ind w:firstLine="420" w:firstLineChars="200"/>
    </w:pPr>
  </w:style>
  <w:style w:type="character" w:customStyle="1" w:styleId="27">
    <w:name w:val="标题 3 Char"/>
    <w:basedOn w:val="19"/>
    <w:link w:val="4"/>
    <w:qFormat/>
    <w:uiPriority w:val="0"/>
    <w:rPr>
      <w:b/>
      <w:bCs/>
      <w:kern w:val="2"/>
      <w:sz w:val="32"/>
      <w:szCs w:val="32"/>
    </w:rPr>
  </w:style>
  <w:style w:type="paragraph" w:customStyle="1" w:styleId="28">
    <w:name w:val="MsoNormal"/>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1EFD8714-0FA9-4C6D-A463-F07367D20AE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19</Pages>
  <Words>5715</Words>
  <Characters>6234</Characters>
  <Lines>1</Lines>
  <Paragraphs>1</Paragraphs>
  <TotalTime>2</TotalTime>
  <ScaleCrop>false</ScaleCrop>
  <LinksUpToDate>false</LinksUpToDate>
  <CharactersWithSpaces>6813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 Steysun</cp:lastModifiedBy>
  <cp:lastPrinted>2021-04-16T00:45:00Z</cp:lastPrinted>
  <dcterms:modified xsi:type="dcterms:W3CDTF">2025-09-29T09:46:21Z</dcterms:modified>
  <dc:title>××年度××部门/单位</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26F4CC4C0F1B477BBA88FFA4028975F1_13</vt:lpwstr>
  </property>
  <property fmtid="{D5CDD505-2E9C-101B-9397-08002B2CF9AE}" pid="3" name="KSOProductBuildVer">
    <vt:lpwstr>2052-11.1.0.14309</vt:lpwstr>
  </property>
  <property fmtid="{D5CDD505-2E9C-101B-9397-08002B2CF9AE}" pid="4" name="KSOTemplateDocerSaveRecord">
    <vt:lpwstr>eyJoZGlkIjoiZDNhZGE3ZTE2Zjc1MGYyMjQyNmU5MzAxZWMwYzg3ZWEiLCJ1c2VySWQiOiIzMDUxNTcwNTEifQ==</vt:lpwstr>
  </property>
</Properties>
</file>