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2EEFE">
      <w:pPr>
        <w:spacing w:line="360" w:lineRule="auto"/>
        <w:jc w:val="center"/>
        <w:rPr>
          <w:rFonts w:ascii="宋体" w:hAnsi="宋体"/>
          <w:sz w:val="24"/>
        </w:rPr>
      </w:pPr>
    </w:p>
    <w:p w14:paraId="4C0BD1E3">
      <w:pPr>
        <w:spacing w:line="360" w:lineRule="auto"/>
        <w:jc w:val="center"/>
        <w:rPr>
          <w:rFonts w:ascii="宋体" w:hAnsi="宋体"/>
          <w:sz w:val="24"/>
        </w:rPr>
      </w:pPr>
    </w:p>
    <w:p w14:paraId="34751F3B">
      <w:pPr>
        <w:spacing w:line="360" w:lineRule="auto"/>
        <w:jc w:val="center"/>
        <w:rPr>
          <w:rFonts w:ascii="宋体" w:hAnsi="宋体"/>
          <w:sz w:val="24"/>
        </w:rPr>
      </w:pPr>
    </w:p>
    <w:p w14:paraId="11C6B1AF">
      <w:pPr>
        <w:spacing w:line="360" w:lineRule="auto"/>
        <w:jc w:val="center"/>
        <w:rPr>
          <w:rFonts w:ascii="宋体" w:hAnsi="宋体"/>
          <w:sz w:val="24"/>
        </w:rPr>
      </w:pPr>
    </w:p>
    <w:p w14:paraId="136721F2">
      <w:pPr>
        <w:spacing w:line="360" w:lineRule="auto"/>
        <w:jc w:val="center"/>
        <w:rPr>
          <w:rFonts w:ascii="宋体" w:hAnsi="宋体"/>
          <w:b/>
          <w:bCs/>
          <w:sz w:val="52"/>
          <w:szCs w:val="52"/>
        </w:rPr>
      </w:pPr>
      <w:r>
        <w:rPr>
          <w:rFonts w:ascii="宋体" w:hAnsi="宋体"/>
          <w:b/>
          <w:bCs/>
          <w:sz w:val="52"/>
          <w:szCs w:val="52"/>
        </w:rPr>
        <w:t>2023</w:t>
      </w:r>
      <w:r>
        <w:rPr>
          <w:rFonts w:hint="eastAsia" w:ascii="宋体" w:hAnsi="宋体"/>
          <w:b/>
          <w:bCs/>
          <w:sz w:val="52"/>
          <w:szCs w:val="52"/>
        </w:rPr>
        <w:t>年度内蒙古自治区巴彦淖尔市第二医院</w:t>
      </w:r>
    </w:p>
    <w:p w14:paraId="451FC08A">
      <w:pPr>
        <w:spacing w:line="360" w:lineRule="auto"/>
        <w:jc w:val="center"/>
        <w:rPr>
          <w:rFonts w:ascii="宋体" w:hAnsi="宋体"/>
          <w:b/>
          <w:bCs/>
          <w:sz w:val="52"/>
          <w:szCs w:val="52"/>
        </w:rPr>
      </w:pPr>
      <w:r>
        <w:rPr>
          <w:rFonts w:hint="eastAsia" w:ascii="宋体" w:hAnsi="宋体"/>
          <w:b/>
          <w:bCs/>
          <w:sz w:val="52"/>
          <w:szCs w:val="52"/>
        </w:rPr>
        <w:t>公开文档</w:t>
      </w:r>
    </w:p>
    <w:p w14:paraId="163E4011">
      <w:pPr>
        <w:spacing w:line="360" w:lineRule="auto"/>
        <w:jc w:val="center"/>
        <w:rPr>
          <w:rFonts w:ascii="宋体" w:hAnsi="宋体"/>
          <w:b/>
          <w:bCs/>
          <w:sz w:val="52"/>
          <w:szCs w:val="52"/>
        </w:rPr>
      </w:pPr>
    </w:p>
    <w:p w14:paraId="12A226E8">
      <w:pPr>
        <w:spacing w:line="360" w:lineRule="auto"/>
        <w:jc w:val="center"/>
        <w:rPr>
          <w:rFonts w:ascii="宋体" w:hAnsi="宋体"/>
          <w:b/>
          <w:bCs/>
          <w:sz w:val="52"/>
          <w:szCs w:val="52"/>
        </w:rPr>
      </w:pPr>
    </w:p>
    <w:p w14:paraId="32349D72">
      <w:pPr>
        <w:spacing w:line="360" w:lineRule="auto"/>
        <w:jc w:val="center"/>
        <w:rPr>
          <w:rFonts w:ascii="宋体" w:hAnsi="宋体"/>
          <w:b/>
          <w:bCs/>
          <w:sz w:val="52"/>
          <w:szCs w:val="52"/>
        </w:rPr>
      </w:pPr>
    </w:p>
    <w:p w14:paraId="49A16B64">
      <w:pPr>
        <w:spacing w:line="360" w:lineRule="auto"/>
        <w:jc w:val="center"/>
        <w:rPr>
          <w:rFonts w:ascii="宋体" w:hAnsi="宋体"/>
          <w:b/>
          <w:bCs/>
          <w:sz w:val="52"/>
          <w:szCs w:val="52"/>
        </w:rPr>
      </w:pPr>
    </w:p>
    <w:p w14:paraId="68A799B7">
      <w:pPr>
        <w:spacing w:line="360" w:lineRule="auto"/>
        <w:jc w:val="center"/>
        <w:rPr>
          <w:rFonts w:ascii="宋体" w:hAnsi="宋体"/>
          <w:b/>
          <w:bCs/>
          <w:sz w:val="52"/>
          <w:szCs w:val="52"/>
        </w:rPr>
      </w:pPr>
    </w:p>
    <w:p w14:paraId="22FC7103">
      <w:pPr>
        <w:spacing w:line="360" w:lineRule="auto"/>
        <w:ind w:firstLine="2240" w:firstLineChars="700"/>
        <w:jc w:val="left"/>
        <w:rPr>
          <w:rFonts w:ascii="宋体" w:hAnsi="宋体"/>
          <w:sz w:val="32"/>
          <w:szCs w:val="32"/>
        </w:rPr>
      </w:pPr>
      <w:r>
        <w:rPr>
          <w:rFonts w:hint="eastAsia" w:ascii="宋体" w:hAnsi="宋体"/>
          <w:sz w:val="32"/>
          <w:szCs w:val="32"/>
          <w:lang w:eastAsia="zh-CN"/>
        </w:rPr>
        <w:t>单位</w:t>
      </w:r>
      <w:r>
        <w:rPr>
          <w:rFonts w:hint="eastAsia" w:ascii="宋体" w:hAnsi="宋体"/>
          <w:sz w:val="32"/>
          <w:szCs w:val="32"/>
        </w:rPr>
        <w:t>名称：内蒙古自治区巴彦淖尔市第二医院</w:t>
      </w:r>
    </w:p>
    <w:p w14:paraId="67ADBC1A">
      <w:pPr>
        <w:spacing w:line="360" w:lineRule="auto"/>
        <w:ind w:firstLine="2240" w:firstLineChars="700"/>
        <w:jc w:val="left"/>
        <w:rPr>
          <w:rFonts w:ascii="宋体" w:hAnsi="宋体"/>
          <w:sz w:val="32"/>
          <w:szCs w:val="32"/>
        </w:rPr>
      </w:pPr>
      <w:r>
        <w:rPr>
          <w:rFonts w:hint="eastAsia" w:ascii="宋体" w:hAnsi="宋体"/>
          <w:sz w:val="32"/>
          <w:szCs w:val="32"/>
        </w:rPr>
        <w:t>单位负责人：刘捷</w:t>
      </w:r>
    </w:p>
    <w:p w14:paraId="24EBAACC">
      <w:pPr>
        <w:spacing w:line="360" w:lineRule="auto"/>
        <w:ind w:firstLine="2240" w:firstLineChars="700"/>
        <w:jc w:val="left"/>
        <w:rPr>
          <w:rFonts w:ascii="宋体" w:hAnsi="宋体"/>
          <w:sz w:val="32"/>
          <w:szCs w:val="32"/>
        </w:rPr>
      </w:pPr>
      <w:r>
        <w:rPr>
          <w:rFonts w:hint="eastAsia" w:ascii="宋体" w:hAnsi="宋体"/>
          <w:sz w:val="32"/>
          <w:szCs w:val="32"/>
        </w:rPr>
        <w:t>财务负责人：额尔登白乙拉</w:t>
      </w:r>
    </w:p>
    <w:p w14:paraId="65494736">
      <w:pPr>
        <w:spacing w:line="360" w:lineRule="auto"/>
        <w:ind w:firstLine="2240" w:firstLineChars="700"/>
        <w:jc w:val="left"/>
        <w:rPr>
          <w:rFonts w:ascii="宋体" w:hAnsi="宋体"/>
          <w:sz w:val="32"/>
          <w:szCs w:val="32"/>
        </w:rPr>
      </w:pPr>
      <w:r>
        <w:rPr>
          <w:rFonts w:hint="eastAsia" w:ascii="宋体" w:hAnsi="宋体"/>
          <w:sz w:val="32"/>
          <w:szCs w:val="32"/>
        </w:rPr>
        <w:t>编制人：王宁</w:t>
      </w:r>
    </w:p>
    <w:p w14:paraId="79009BC4">
      <w:pPr>
        <w:spacing w:line="360" w:lineRule="auto"/>
        <w:ind w:firstLine="2240" w:firstLineChars="700"/>
        <w:jc w:val="left"/>
        <w:rPr>
          <w:rFonts w:hint="eastAsia" w:ascii="仿宋" w:hAnsi="仿宋" w:eastAsia="宋体"/>
          <w:b/>
          <w:sz w:val="32"/>
          <w:szCs w:val="32"/>
          <w:lang w:val="en-US" w:eastAsia="zh-CN"/>
        </w:rPr>
        <w:sectPr>
          <w:footerReference r:id="rId3" w:type="default"/>
          <w:pgSz w:w="11906" w:h="16838"/>
          <w:pgMar w:top="1440" w:right="1083" w:bottom="1440" w:left="1083" w:header="0" w:footer="720" w:gutter="0"/>
          <w:cols w:space="425" w:num="1"/>
          <w:docGrid w:type="lines" w:linePitch="312" w:charSpace="0"/>
        </w:sectPr>
      </w:pPr>
      <w:r>
        <w:rPr>
          <w:rFonts w:hint="eastAsia" w:ascii="宋体" w:hAnsi="宋体"/>
          <w:sz w:val="32"/>
          <w:szCs w:val="32"/>
        </w:rPr>
        <w:t>报送日期：</w:t>
      </w:r>
      <w:r>
        <w:rPr>
          <w:rFonts w:ascii="宋体" w:hAnsi="宋体"/>
          <w:sz w:val="32"/>
          <w:szCs w:val="32"/>
        </w:rPr>
        <w:t>2024</w:t>
      </w:r>
      <w:r>
        <w:rPr>
          <w:rFonts w:hint="eastAsia" w:ascii="宋体" w:hAnsi="宋体"/>
          <w:sz w:val="32"/>
          <w:szCs w:val="32"/>
        </w:rPr>
        <w:t>年</w:t>
      </w:r>
      <w:r>
        <w:rPr>
          <w:rFonts w:hint="eastAsia" w:ascii="宋体" w:hAnsi="宋体"/>
          <w:sz w:val="32"/>
          <w:szCs w:val="32"/>
          <w:lang w:val="en-US" w:eastAsia="zh-CN"/>
        </w:rPr>
        <w:t>9月</w:t>
      </w:r>
    </w:p>
    <w:p w14:paraId="727FF1D1">
      <w:pPr>
        <w:widowControl/>
        <w:spacing w:after="240"/>
        <w:jc w:val="center"/>
        <w:rPr>
          <w:rFonts w:ascii="Times New Roman" w:hAnsi="Times New Roman" w:eastAsia="Times New Roman" w:cs="Times New Roman"/>
          <w:kern w:val="0"/>
          <w:sz w:val="24"/>
        </w:rPr>
      </w:pPr>
      <w:bookmarkStart w:id="0" w:name="a000"/>
      <w:r>
        <w:rPr>
          <w:rFonts w:ascii="fang_song_gb2312" w:hAnsi="fang_song_gb2312" w:eastAsia="fang_song_gb2312" w:cs="fang_song_gb2312"/>
          <w:b/>
          <w:bCs/>
          <w:kern w:val="0"/>
          <w:sz w:val="54"/>
          <w:szCs w:val="54"/>
        </w:rPr>
        <w:t>目 录</w:t>
      </w:r>
    </w:p>
    <w:p w14:paraId="1D22E78E">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3667704E">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 xml:space="preserve">第一部分 </w:t>
      </w:r>
      <w:r>
        <w:rPr>
          <w:rFonts w:hint="eastAsia" w:ascii="黑体" w:hAnsi="黑体" w:eastAsia="黑体" w:cs="黑体"/>
          <w:kern w:val="0"/>
          <w:sz w:val="27"/>
          <w:szCs w:val="27"/>
          <w:lang w:eastAsia="zh-CN"/>
        </w:rPr>
        <w:t>单位</w:t>
      </w:r>
      <w:r>
        <w:rPr>
          <w:rFonts w:ascii="黑体" w:hAnsi="黑体" w:eastAsia="黑体" w:cs="黑体"/>
          <w:kern w:val="0"/>
          <w:sz w:val="27"/>
          <w:szCs w:val="27"/>
        </w:rPr>
        <w:t>概况</w:t>
      </w:r>
    </w:p>
    <w:p w14:paraId="7B62778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一、主要职能、职责</w:t>
      </w:r>
    </w:p>
    <w:p w14:paraId="2DAEA4C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机构设置及决算单位构成情况</w:t>
      </w:r>
    </w:p>
    <w:p w14:paraId="5D6873A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主要工作完成情况</w:t>
      </w:r>
    </w:p>
    <w:p w14:paraId="5173CE1A">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 xml:space="preserve">第二部分 </w:t>
      </w:r>
      <w:r>
        <w:rPr>
          <w:rFonts w:hint="eastAsia" w:ascii="黑体" w:hAnsi="黑体" w:eastAsia="黑体" w:cs="黑体"/>
          <w:kern w:val="0"/>
          <w:sz w:val="27"/>
          <w:szCs w:val="27"/>
          <w:lang w:eastAsia="zh-CN"/>
        </w:rPr>
        <w:t>单位</w:t>
      </w:r>
      <w:r>
        <w:rPr>
          <w:rFonts w:ascii="黑体" w:hAnsi="黑体" w:eastAsia="黑体" w:cs="黑体"/>
          <w:kern w:val="0"/>
          <w:sz w:val="27"/>
          <w:szCs w:val="27"/>
        </w:rPr>
        <w:t>决算情况说明</w:t>
      </w:r>
    </w:p>
    <w:p w14:paraId="0DEEE0B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一、收入支出决算总体情况说明</w:t>
      </w:r>
    </w:p>
    <w:p w14:paraId="0DF676C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二、收入决算情况说明</w:t>
      </w:r>
    </w:p>
    <w:p w14:paraId="37C556E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三、支出决算情况说明</w:t>
      </w:r>
    </w:p>
    <w:p w14:paraId="7EA3E44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四、财政拨款收入支出决算总体情况说明</w:t>
      </w:r>
    </w:p>
    <w:p w14:paraId="7D89D27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五、一般公共预算财政拨款支出决算情况说明</w:t>
      </w:r>
    </w:p>
    <w:p w14:paraId="1B59909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六、一般公共预算财政拨款基本支出决算情况说明</w:t>
      </w:r>
    </w:p>
    <w:p w14:paraId="475B550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七、一般公共预算财政拨款项目支出决算情况说明</w:t>
      </w:r>
    </w:p>
    <w:p w14:paraId="728B373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八、财政拨款“三公”经费支出决算情况说明</w:t>
      </w:r>
    </w:p>
    <w:p w14:paraId="5D84C5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九、政府性基金预算财政拨款支出决算情况说明</w:t>
      </w:r>
    </w:p>
    <w:p w14:paraId="3E18F05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十、国有资本经营预算财政拨款支出决算情况说明</w:t>
      </w:r>
    </w:p>
    <w:p w14:paraId="47A1F40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十一、机构运行经费支出决算情况说明</w:t>
      </w:r>
    </w:p>
    <w:p w14:paraId="7635C48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十二、政府采购支出决算情况说明</w:t>
      </w:r>
    </w:p>
    <w:p w14:paraId="51BEFED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十三、国有资产占用情况说明</w:t>
      </w:r>
    </w:p>
    <w:p w14:paraId="27C74F3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十四、预算绩效情况说明</w:t>
      </w:r>
    </w:p>
    <w:p w14:paraId="4B54793A">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14:paraId="2519470E">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14:paraId="3CB9F98B">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 xml:space="preserve">第五部分 </w:t>
      </w:r>
      <w:r>
        <w:rPr>
          <w:rFonts w:hint="eastAsia" w:ascii="黑体" w:hAnsi="黑体" w:eastAsia="黑体" w:cs="黑体"/>
          <w:kern w:val="0"/>
          <w:sz w:val="27"/>
          <w:szCs w:val="27"/>
          <w:lang w:eastAsia="zh-CN"/>
        </w:rPr>
        <w:t>单位</w:t>
      </w:r>
      <w:r>
        <w:rPr>
          <w:rFonts w:ascii="黑体" w:hAnsi="黑体" w:eastAsia="黑体" w:cs="黑体"/>
          <w:kern w:val="0"/>
          <w:sz w:val="27"/>
          <w:szCs w:val="27"/>
        </w:rPr>
        <w:t>决算表</w:t>
      </w:r>
    </w:p>
    <w:p w14:paraId="179005C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一、收入支出决算总表</w:t>
      </w:r>
    </w:p>
    <w:p w14:paraId="791B7C0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二、收入决算表</w:t>
      </w:r>
    </w:p>
    <w:p w14:paraId="0646BF6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三、支出决算表</w:t>
      </w:r>
    </w:p>
    <w:p w14:paraId="335B6D4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四、财政拨款收入支出决算总表</w:t>
      </w:r>
    </w:p>
    <w:p w14:paraId="3C621CA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五、一般公共预算财政拨款支出决算表</w:t>
      </w:r>
    </w:p>
    <w:p w14:paraId="547DC8D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六、一般公共预算财政拨款基本支出决算明细表</w:t>
      </w:r>
    </w:p>
    <w:p w14:paraId="1D771F1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七、一般公共预算财政拨款项目支出决算明细表</w:t>
      </w:r>
    </w:p>
    <w:p w14:paraId="1102EAB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八、政府性基金预算财政拨款收入支出决算表</w:t>
      </w:r>
    </w:p>
    <w:p w14:paraId="48171A3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九、国有资本经营预算财政拨款支出决算表</w:t>
      </w:r>
    </w:p>
    <w:p w14:paraId="56F00AD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十、财政拨款“三公”经费支出决算表</w:t>
      </w:r>
    </w:p>
    <w:p w14:paraId="664FA2F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十一、机构运行经费支出、国有资产占用情况及政府采购支出信息表</w:t>
      </w:r>
    </w:p>
    <w:p w14:paraId="6B695906">
      <w:pPr>
        <w:widowControl/>
        <w:spacing w:before="240" w:after="240"/>
        <w:rPr>
          <w:rFonts w:ascii="Times New Roman" w:hAnsi="Times New Roman" w:eastAsia="Times New Roman" w:cs="Times New Roman"/>
          <w:kern w:val="0"/>
          <w:sz w:val="24"/>
        </w:rPr>
      </w:pPr>
    </w:p>
    <w:p w14:paraId="0C230751">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color w:val="000000"/>
          <w:kern w:val="0"/>
          <w:sz w:val="36"/>
          <w:szCs w:val="36"/>
        </w:rPr>
        <w:t xml:space="preserve">第一部分 </w:t>
      </w:r>
      <w:r>
        <w:rPr>
          <w:rFonts w:hint="eastAsia" w:ascii="fang_zheng_xiao_biao_song_ti" w:hAnsi="fang_zheng_xiao_biao_song_ti" w:cs="fang_zheng_xiao_biao_song_ti"/>
          <w:b/>
          <w:bCs/>
          <w:color w:val="000000"/>
          <w:kern w:val="0"/>
          <w:sz w:val="36"/>
          <w:szCs w:val="36"/>
          <w:lang w:eastAsia="zh-CN"/>
        </w:rPr>
        <w:t>单位</w:t>
      </w:r>
      <w:r>
        <w:rPr>
          <w:rFonts w:ascii="fang_zheng_xiao_biao_song_ti" w:hAnsi="fang_zheng_xiao_biao_song_ti" w:eastAsia="fang_zheng_xiao_biao_song_ti" w:cs="fang_zheng_xiao_biao_song_ti"/>
          <w:b/>
          <w:bCs/>
          <w:color w:val="000000"/>
          <w:kern w:val="0"/>
          <w:sz w:val="36"/>
          <w:szCs w:val="36"/>
        </w:rPr>
        <w:t>概况</w:t>
      </w:r>
    </w:p>
    <w:p w14:paraId="1ACAAF0E">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14:paraId="59FEE38A">
      <w:pPr>
        <w:keepNext w:val="0"/>
        <w:keepLines w:val="0"/>
        <w:pageBreakBefore w:val="0"/>
        <w:widowControl w:val="0"/>
        <w:kinsoku/>
        <w:wordWrap/>
        <w:overflowPunct/>
        <w:topLinePunct w:val="0"/>
        <w:autoSpaceDE/>
        <w:autoSpaceDN/>
        <w:bidi w:val="0"/>
        <w:adjustRightInd/>
        <w:snapToGrid/>
        <w:spacing w:line="580" w:lineRule="exact"/>
        <w:ind w:firstLine="540" w:firstLineChars="200"/>
        <w:textAlignment w:val="auto"/>
        <w:rPr>
          <w:rFonts w:hint="eastAsia" w:ascii="fang_song_gb2312" w:hAnsi="fang_song_gb2312" w:eastAsia="fang_song_gb2312" w:cs="fang_song_gb2312"/>
          <w:kern w:val="0"/>
          <w:sz w:val="27"/>
          <w:szCs w:val="27"/>
        </w:rPr>
      </w:pPr>
      <w:r>
        <w:rPr>
          <w:rFonts w:hint="eastAsia" w:ascii="fang_song_gb2312" w:hAnsi="fang_song_gb2312" w:eastAsia="fang_song_gb2312" w:cs="fang_song_gb2312"/>
          <w:kern w:val="0"/>
          <w:sz w:val="27"/>
          <w:szCs w:val="27"/>
        </w:rPr>
        <w:t>负责全市传染病的诊断、隔离、治疗及传染病的疫情报告；传染病暴发、流行时承担定点救治任务；承担医护人员的培训；负责组织全市所属结防机构《结核病防治规划》的实施；对全市结防机构的肺结核病的发现、诊断、报告、登记、治疗和管理进行督导和检查。</w:t>
      </w:r>
    </w:p>
    <w:p w14:paraId="7C94A3B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w:t>
      </w:r>
      <w:r>
        <w:rPr>
          <w:rFonts w:hint="eastAsia" w:ascii="黑体" w:hAnsi="黑体" w:eastAsia="黑体" w:cs="黑体"/>
          <w:b/>
          <w:bCs/>
          <w:kern w:val="0"/>
          <w:sz w:val="27"/>
          <w:szCs w:val="27"/>
          <w:lang w:eastAsia="zh-CN"/>
        </w:rPr>
        <w:t>单位</w:t>
      </w:r>
      <w:r>
        <w:rPr>
          <w:rFonts w:ascii="黑体" w:hAnsi="黑体" w:eastAsia="黑体" w:cs="黑体"/>
          <w:b/>
          <w:bCs/>
          <w:kern w:val="0"/>
          <w:sz w:val="27"/>
          <w:szCs w:val="27"/>
        </w:rPr>
        <w:t>机构设置及决算单位构成情况</w:t>
      </w:r>
    </w:p>
    <w:p w14:paraId="51DF2907">
      <w:pPr>
        <w:widowControl/>
        <w:spacing w:before="240" w:after="240"/>
        <w:ind w:firstLine="481"/>
        <w:rPr>
          <w:rFonts w:ascii="fang_song_gb2312" w:hAnsi="fang_song_gb2312" w:eastAsia="fang_song_gb2312" w:cs="fang_song_gb2312"/>
          <w:color w:val="0E00FE"/>
          <w:kern w:val="0"/>
          <w:sz w:val="27"/>
          <w:szCs w:val="27"/>
        </w:rPr>
      </w:pP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.根据</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职责分工，本</w:t>
      </w:r>
      <w:r>
        <w:rPr>
          <w:rFonts w:hint="eastAsia" w:ascii="fang_song_gb2312" w:hAnsi="fang_song_gb2312" w:cs="fang_song_gb2312"/>
          <w:kern w:val="0"/>
          <w:sz w:val="27"/>
          <w:szCs w:val="27"/>
          <w:lang w:eastAsia="zh-CN"/>
        </w:rPr>
        <w:t>单位无</w:t>
      </w:r>
      <w:r>
        <w:rPr>
          <w:rFonts w:ascii="fang_song_gb2312" w:hAnsi="fang_song_gb2312" w:eastAsia="fang_song_gb2312" w:cs="fang_song_gb2312"/>
          <w:kern w:val="0"/>
          <w:sz w:val="27"/>
          <w:szCs w:val="27"/>
        </w:rPr>
        <w:t>内设机构。本</w:t>
      </w:r>
      <w:r>
        <w:rPr>
          <w:rFonts w:hint="eastAsia" w:ascii="fang_song_gb2312" w:hAnsi="fang_song_gb2312" w:cs="fang_song_gb2312"/>
          <w:kern w:val="0"/>
          <w:sz w:val="27"/>
          <w:szCs w:val="27"/>
          <w:lang w:eastAsia="zh-CN"/>
        </w:rPr>
        <w:t>单位无</w:t>
      </w:r>
      <w:r>
        <w:rPr>
          <w:rFonts w:ascii="fang_song_gb2312" w:hAnsi="fang_song_gb2312" w:eastAsia="fang_song_gb2312" w:cs="fang_song_gb2312"/>
          <w:kern w:val="0"/>
          <w:sz w:val="27"/>
          <w:szCs w:val="27"/>
        </w:rPr>
        <w:t>下属单位。</w:t>
      </w:r>
    </w:p>
    <w:p w14:paraId="687DFC13">
      <w:pPr>
        <w:widowControl/>
        <w:numPr>
          <w:ilvl w:val="0"/>
          <w:numId w:val="0"/>
        </w:numPr>
        <w:spacing w:before="240" w:after="240"/>
        <w:ind w:left="481" w:leftChars="0"/>
        <w:rPr>
          <w:rFonts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2.</w:t>
      </w:r>
      <w:r>
        <w:rPr>
          <w:rFonts w:ascii="fang_song_gb2312" w:hAnsi="fang_song_gb2312" w:eastAsia="fang_song_gb2312" w:cs="fang_song_gb2312"/>
          <w:kern w:val="0"/>
          <w:sz w:val="27"/>
          <w:szCs w:val="27"/>
        </w:rPr>
        <w:t>从决算单位构成看，纳入本财政汇总决算编制范围的预算单位共计</w:t>
      </w:r>
      <w:r>
        <w:rPr>
          <w:rFonts w:hint="eastAsia" w:ascii="fang_song_gb2312" w:hAnsi="fang_song_gb2312" w:cs="fang_song_gb2312"/>
          <w:kern w:val="0"/>
          <w:sz w:val="27"/>
          <w:szCs w:val="27"/>
          <w:u w:val="single"/>
          <w:lang w:val="en-US" w:eastAsia="zh-CN"/>
        </w:rPr>
        <w:t>1</w:t>
      </w:r>
      <w:r>
        <w:rPr>
          <w:rFonts w:ascii="fang_song_gb2312" w:hAnsi="fang_song_gb2312" w:eastAsia="fang_song_gb2312" w:cs="fang_song_gb2312"/>
          <w:kern w:val="0"/>
          <w:sz w:val="27"/>
          <w:szCs w:val="27"/>
        </w:rPr>
        <w:t>家，具体包括：</w:t>
      </w:r>
      <w:r>
        <w:rPr>
          <w:rFonts w:hint="eastAsia" w:ascii="fang_song_gb2312" w:hAnsi="fang_song_gb2312" w:cs="fang_song_gb2312"/>
          <w:kern w:val="0"/>
          <w:sz w:val="27"/>
          <w:szCs w:val="27"/>
          <w:lang w:eastAsia="zh-CN"/>
        </w:rPr>
        <w:t>巴彦淖尔市第二医院</w:t>
      </w:r>
      <w:r>
        <w:rPr>
          <w:rFonts w:ascii="fang_song_gb2312" w:hAnsi="fang_song_gb2312" w:eastAsia="fang_song_gb2312" w:cs="fang_song_gb2312"/>
          <w:kern w:val="0"/>
          <w:sz w:val="27"/>
          <w:szCs w:val="27"/>
        </w:rPr>
        <w:t>。详细情况见表：</w:t>
      </w:r>
    </w:p>
    <w:tbl>
      <w:tblPr>
        <w:tblStyle w:val="18"/>
        <w:tblpPr w:leftFromText="180" w:rightFromText="180" w:vertAnchor="text" w:horzAnchor="page" w:tblpX="1701" w:tblpY="137"/>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2"/>
        <w:gridCol w:w="3260"/>
        <w:gridCol w:w="4600"/>
      </w:tblGrid>
      <w:tr w14:paraId="4CE7BA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2" w:type="dxa"/>
            <w:tcBorders>
              <w:top w:val="single" w:color="auto" w:sz="6" w:space="0"/>
              <w:left w:val="single" w:color="auto" w:sz="6" w:space="0"/>
              <w:bottom w:val="single" w:color="auto" w:sz="6" w:space="0"/>
              <w:right w:val="single" w:color="auto" w:sz="6" w:space="0"/>
              <w:tl2br w:val="nil"/>
              <w:tr2bl w:val="nil"/>
            </w:tcBorders>
            <w:noWrap w:val="0"/>
            <w:vAlign w:val="top"/>
          </w:tcPr>
          <w:p w14:paraId="7D371BD7">
            <w:pPr>
              <w:spacing w:line="580" w:lineRule="exact"/>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序号</w:t>
            </w:r>
          </w:p>
        </w:tc>
        <w:tc>
          <w:tcPr>
            <w:tcW w:w="3260" w:type="dxa"/>
            <w:tcBorders>
              <w:top w:val="single" w:color="auto" w:sz="6" w:space="0"/>
              <w:left w:val="single" w:color="auto" w:sz="6" w:space="0"/>
              <w:bottom w:val="single" w:color="auto" w:sz="6" w:space="0"/>
              <w:right w:val="single" w:color="auto" w:sz="6" w:space="0"/>
              <w:tl2br w:val="nil"/>
              <w:tr2bl w:val="nil"/>
            </w:tcBorders>
            <w:noWrap w:val="0"/>
            <w:vAlign w:val="top"/>
          </w:tcPr>
          <w:p w14:paraId="097DC97C">
            <w:pPr>
              <w:spacing w:line="580" w:lineRule="exact"/>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单位名称</w:t>
            </w:r>
          </w:p>
        </w:tc>
        <w:tc>
          <w:tcPr>
            <w:tcW w:w="4600" w:type="dxa"/>
            <w:tcBorders>
              <w:top w:val="single" w:color="auto" w:sz="6" w:space="0"/>
              <w:left w:val="single" w:color="auto" w:sz="6" w:space="0"/>
              <w:bottom w:val="single" w:color="auto" w:sz="6" w:space="0"/>
              <w:right w:val="single" w:color="auto" w:sz="6" w:space="0"/>
              <w:tl2br w:val="nil"/>
              <w:tr2bl w:val="nil"/>
            </w:tcBorders>
            <w:noWrap w:val="0"/>
            <w:vAlign w:val="top"/>
          </w:tcPr>
          <w:p w14:paraId="7CA8BF07">
            <w:pPr>
              <w:spacing w:line="580" w:lineRule="exact"/>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单位性质</w:t>
            </w:r>
          </w:p>
        </w:tc>
      </w:tr>
      <w:tr w14:paraId="6BE5F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62" w:type="dxa"/>
            <w:tcBorders>
              <w:top w:val="single" w:color="auto" w:sz="6" w:space="0"/>
              <w:left w:val="single" w:color="auto" w:sz="6" w:space="0"/>
              <w:bottom w:val="single" w:color="auto" w:sz="6" w:space="0"/>
              <w:right w:val="single" w:color="auto" w:sz="6" w:space="0"/>
              <w:tl2br w:val="nil"/>
              <w:tr2bl w:val="nil"/>
            </w:tcBorders>
            <w:noWrap w:val="0"/>
            <w:vAlign w:val="top"/>
          </w:tcPr>
          <w:p w14:paraId="551D4D83">
            <w:pPr>
              <w:spacing w:line="580" w:lineRule="exact"/>
              <w:rPr>
                <w:rFonts w:hint="eastAsia" w:ascii="Times New Roman" w:hAnsi="Times New Roman" w:eastAsia="宋体"/>
                <w:color w:val="000000"/>
                <w:sz w:val="31"/>
                <w:szCs w:val="24"/>
                <w:lang w:eastAsia="zh-CN"/>
              </w:rPr>
            </w:pPr>
            <w:r>
              <w:rPr>
                <w:rFonts w:hint="eastAsia" w:ascii="Times New Roman" w:hAnsi="Times New Roman" w:eastAsia="宋体"/>
                <w:color w:val="000000"/>
                <w:sz w:val="31"/>
                <w:szCs w:val="24"/>
                <w:lang w:val="en-US" w:eastAsia="zh-CN"/>
              </w:rPr>
              <w:t>1</w:t>
            </w:r>
          </w:p>
        </w:tc>
        <w:tc>
          <w:tcPr>
            <w:tcW w:w="3260" w:type="dxa"/>
            <w:tcBorders>
              <w:top w:val="single" w:color="auto" w:sz="6" w:space="0"/>
              <w:left w:val="single" w:color="auto" w:sz="6" w:space="0"/>
              <w:bottom w:val="single" w:color="auto" w:sz="6" w:space="0"/>
              <w:right w:val="single" w:color="auto" w:sz="6" w:space="0"/>
              <w:tl2br w:val="nil"/>
              <w:tr2bl w:val="nil"/>
            </w:tcBorders>
            <w:noWrap w:val="0"/>
            <w:vAlign w:val="top"/>
          </w:tcPr>
          <w:p w14:paraId="6D7FEF6B">
            <w:pPr>
              <w:spacing w:line="580" w:lineRule="exact"/>
              <w:rPr>
                <w:rFonts w:hint="default" w:ascii="Times New Roman" w:hAnsi="Times New Roman" w:eastAsia="Times New Roman"/>
                <w:color w:val="000000"/>
                <w:sz w:val="31"/>
                <w:szCs w:val="24"/>
              </w:rPr>
            </w:pPr>
            <w:r>
              <w:rPr>
                <w:rFonts w:hint="eastAsia" w:ascii="Times New Roman" w:hAnsi="Times New Roman" w:eastAsia="宋体"/>
                <w:color w:val="000000"/>
                <w:sz w:val="31"/>
                <w:szCs w:val="24"/>
                <w:lang w:eastAsia="zh-CN"/>
              </w:rPr>
              <w:t>巴彦淖尔市第二医院</w:t>
            </w:r>
          </w:p>
        </w:tc>
        <w:tc>
          <w:tcPr>
            <w:tcW w:w="4600" w:type="dxa"/>
            <w:tcBorders>
              <w:top w:val="single" w:color="auto" w:sz="6" w:space="0"/>
              <w:left w:val="single" w:color="auto" w:sz="6" w:space="0"/>
              <w:bottom w:val="single" w:color="auto" w:sz="6" w:space="0"/>
              <w:right w:val="single" w:color="auto" w:sz="6" w:space="0"/>
              <w:tl2br w:val="nil"/>
              <w:tr2bl w:val="nil"/>
            </w:tcBorders>
            <w:noWrap w:val="0"/>
            <w:vAlign w:val="top"/>
          </w:tcPr>
          <w:p w14:paraId="634BE524">
            <w:pPr>
              <w:spacing w:line="580" w:lineRule="exact"/>
              <w:rPr>
                <w:rFonts w:hint="default" w:ascii="Times New Roman" w:hAnsi="Times New Roman" w:eastAsia="Times New Roman"/>
                <w:color w:val="000000"/>
                <w:sz w:val="31"/>
                <w:szCs w:val="24"/>
              </w:rPr>
            </w:pPr>
            <w:r>
              <w:rPr>
                <w:rFonts w:hint="eastAsia" w:ascii="仿宋_GB2312" w:hAnsi="仿宋_GB2312" w:eastAsia="仿宋_GB2312"/>
                <w:color w:val="000000"/>
                <w:sz w:val="31"/>
                <w:szCs w:val="24"/>
              </w:rPr>
              <w:t>公益一类事业单位</w:t>
            </w:r>
          </w:p>
        </w:tc>
      </w:tr>
      <w:tr w14:paraId="491CA6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62" w:type="dxa"/>
            <w:tcBorders>
              <w:top w:val="single" w:color="auto" w:sz="6" w:space="0"/>
              <w:left w:val="single" w:color="auto" w:sz="6" w:space="0"/>
              <w:bottom w:val="single" w:color="auto" w:sz="6" w:space="0"/>
              <w:right w:val="single" w:color="auto" w:sz="6" w:space="0"/>
              <w:tl2br w:val="nil"/>
              <w:tr2bl w:val="nil"/>
            </w:tcBorders>
            <w:noWrap w:val="0"/>
            <w:vAlign w:val="top"/>
          </w:tcPr>
          <w:p w14:paraId="692285C8">
            <w:pPr>
              <w:spacing w:line="580" w:lineRule="exact"/>
              <w:rPr>
                <w:rFonts w:hint="eastAsia" w:ascii="Times New Roman" w:hAnsi="Times New Roman" w:eastAsia="宋体"/>
                <w:color w:val="000000"/>
                <w:sz w:val="31"/>
                <w:szCs w:val="24"/>
                <w:lang w:eastAsia="zh-CN"/>
              </w:rPr>
            </w:pPr>
            <w:r>
              <w:rPr>
                <w:rFonts w:hint="eastAsia" w:ascii="Times New Roman" w:hAnsi="Times New Roman" w:eastAsia="宋体"/>
                <w:color w:val="000000"/>
                <w:sz w:val="31"/>
                <w:szCs w:val="24"/>
                <w:lang w:val="en-US" w:eastAsia="zh-CN"/>
              </w:rPr>
              <w:t>2</w:t>
            </w:r>
          </w:p>
        </w:tc>
        <w:tc>
          <w:tcPr>
            <w:tcW w:w="3260" w:type="dxa"/>
            <w:tcBorders>
              <w:top w:val="single" w:color="auto" w:sz="6" w:space="0"/>
              <w:left w:val="single" w:color="auto" w:sz="6" w:space="0"/>
              <w:bottom w:val="single" w:color="auto" w:sz="6" w:space="0"/>
              <w:right w:val="single" w:color="auto" w:sz="6" w:space="0"/>
              <w:tl2br w:val="nil"/>
              <w:tr2bl w:val="nil"/>
            </w:tcBorders>
            <w:noWrap w:val="0"/>
            <w:vAlign w:val="top"/>
          </w:tcPr>
          <w:p w14:paraId="3F1E9B34">
            <w:pPr>
              <w:spacing w:line="580" w:lineRule="exact"/>
              <w:rPr>
                <w:rFonts w:hint="default" w:ascii="Times New Roman" w:hAnsi="Times New Roman" w:eastAsia="Times New Roman"/>
                <w:color w:val="000000"/>
                <w:sz w:val="31"/>
                <w:szCs w:val="24"/>
              </w:rPr>
            </w:pPr>
            <w:r>
              <w:rPr>
                <w:rFonts w:hint="default" w:ascii="Times New Roman" w:hAnsi="Times New Roman" w:eastAsia="Times New Roman"/>
                <w:color w:val="000000"/>
                <w:sz w:val="31"/>
                <w:szCs w:val="24"/>
              </w:rPr>
              <w:t>无下级预算单位</w:t>
            </w:r>
          </w:p>
        </w:tc>
        <w:tc>
          <w:tcPr>
            <w:tcW w:w="4600" w:type="dxa"/>
            <w:tcBorders>
              <w:top w:val="single" w:color="auto" w:sz="6" w:space="0"/>
              <w:left w:val="single" w:color="auto" w:sz="6" w:space="0"/>
              <w:bottom w:val="single" w:color="auto" w:sz="6" w:space="0"/>
              <w:right w:val="single" w:color="auto" w:sz="6" w:space="0"/>
              <w:tl2br w:val="nil"/>
              <w:tr2bl w:val="nil"/>
            </w:tcBorders>
            <w:noWrap w:val="0"/>
            <w:vAlign w:val="top"/>
          </w:tcPr>
          <w:p w14:paraId="20C74C9C">
            <w:pPr>
              <w:spacing w:line="580" w:lineRule="exact"/>
              <w:rPr>
                <w:rFonts w:hint="default" w:ascii="Times New Roman" w:hAnsi="Times New Roman" w:eastAsia="Times New Roman"/>
                <w:color w:val="000000"/>
                <w:sz w:val="31"/>
                <w:szCs w:val="24"/>
              </w:rPr>
            </w:pPr>
          </w:p>
        </w:tc>
      </w:tr>
    </w:tbl>
    <w:p w14:paraId="03CF52B6">
      <w:pPr>
        <w:widowControl/>
        <w:numPr>
          <w:ilvl w:val="0"/>
          <w:numId w:val="0"/>
        </w:numPr>
        <w:spacing w:before="240" w:after="240"/>
        <w:ind w:left="481" w:leftChars="0"/>
        <w:rPr>
          <w:rFonts w:ascii="fang_song_gb2312" w:hAnsi="fang_song_gb2312" w:eastAsia="fang_song_gb2312" w:cs="fang_song_gb2312"/>
          <w:kern w:val="0"/>
          <w:sz w:val="27"/>
          <w:szCs w:val="27"/>
        </w:rPr>
      </w:pPr>
    </w:p>
    <w:p w14:paraId="6AA2F4C2">
      <w:pPr>
        <w:widowControl/>
        <w:spacing w:before="240" w:after="240"/>
        <w:jc w:val="left"/>
        <w:rPr>
          <w:rFonts w:ascii="fang_song_gb2312" w:hAnsi="fang_song_gb2312" w:eastAsia="fang_song_gb2312" w:cs="fang_song_gb2312"/>
          <w:color w:val="0E00FE"/>
          <w:kern w:val="0"/>
          <w:sz w:val="27"/>
          <w:szCs w:val="27"/>
        </w:rPr>
      </w:pPr>
      <w:r>
        <w:rPr>
          <w:rFonts w:ascii="fang_song_gb2312" w:hAnsi="fang_song_gb2312" w:eastAsia="fang_song_gb2312" w:cs="fang_song_gb2312"/>
          <w:color w:val="0E00FE"/>
          <w:kern w:val="0"/>
          <w:sz w:val="27"/>
          <w:szCs w:val="27"/>
        </w:rPr>
        <w:t xml:space="preserve">  </w:t>
      </w:r>
    </w:p>
    <w:p w14:paraId="72C29B53">
      <w:pPr>
        <w:widowControl/>
        <w:spacing w:before="240" w:after="240"/>
        <w:jc w:val="left"/>
        <w:rPr>
          <w:rFonts w:ascii="fang_song_gb2312" w:hAnsi="fang_song_gb2312" w:eastAsia="fang_song_gb2312" w:cs="fang_song_gb2312"/>
          <w:color w:val="0E00FE"/>
          <w:kern w:val="0"/>
          <w:sz w:val="27"/>
          <w:szCs w:val="27"/>
        </w:rPr>
      </w:pPr>
    </w:p>
    <w:p w14:paraId="65B4AAD3">
      <w:pPr>
        <w:widowControl/>
        <w:spacing w:before="240" w:after="240"/>
        <w:ind w:firstLine="540" w:firstLineChars="200"/>
        <w:jc w:val="left"/>
        <w:rPr>
          <w:rFonts w:ascii="fang_song_gb2312" w:hAnsi="fang_song_gb2312" w:eastAsia="fang_song_gb2312" w:cs="fang_song_gb2312"/>
          <w:color w:val="0E00FE"/>
          <w:kern w:val="0"/>
          <w:sz w:val="27"/>
          <w:szCs w:val="27"/>
        </w:rPr>
      </w:pPr>
      <w:r>
        <w:rPr>
          <w:rFonts w:hint="eastAsia" w:ascii="fang_song_gb2312" w:hAnsi="fang_song_gb2312" w:eastAsia="fang_song_gb2312" w:cs="fang_song_gb2312"/>
          <w:color w:val="auto"/>
          <w:kern w:val="0"/>
          <w:sz w:val="27"/>
          <w:szCs w:val="27"/>
        </w:rPr>
        <w:t>人员基本情况，编制74个，实有人数</w:t>
      </w:r>
      <w:r>
        <w:rPr>
          <w:rFonts w:hint="eastAsia" w:ascii="fang_song_gb2312" w:hAnsi="fang_song_gb2312" w:cs="fang_song_gb2312"/>
          <w:color w:val="auto"/>
          <w:kern w:val="0"/>
          <w:sz w:val="27"/>
          <w:szCs w:val="27"/>
          <w:highlight w:val="none"/>
          <w:lang w:val="en-US" w:eastAsia="zh-CN"/>
        </w:rPr>
        <w:t>68</w:t>
      </w:r>
      <w:r>
        <w:rPr>
          <w:rFonts w:hint="eastAsia" w:ascii="fang_song_gb2312" w:hAnsi="fang_song_gb2312" w:eastAsia="fang_song_gb2312" w:cs="fang_song_gb2312"/>
          <w:color w:val="auto"/>
          <w:kern w:val="0"/>
          <w:sz w:val="27"/>
          <w:szCs w:val="27"/>
        </w:rPr>
        <w:t>人（包含48号工勤3人）,退休人员</w:t>
      </w:r>
      <w:r>
        <w:rPr>
          <w:rFonts w:hint="eastAsia" w:ascii="fang_song_gb2312" w:hAnsi="fang_song_gb2312" w:cs="fang_song_gb2312"/>
          <w:color w:val="auto"/>
          <w:kern w:val="0"/>
          <w:sz w:val="27"/>
          <w:szCs w:val="27"/>
          <w:highlight w:val="none"/>
          <w:lang w:val="en-US" w:eastAsia="zh-CN"/>
        </w:rPr>
        <w:t>36</w:t>
      </w:r>
      <w:r>
        <w:rPr>
          <w:rFonts w:hint="eastAsia" w:ascii="fang_song_gb2312" w:hAnsi="fang_song_gb2312" w:eastAsia="fang_song_gb2312" w:cs="fang_song_gb2312"/>
          <w:color w:val="auto"/>
          <w:kern w:val="0"/>
          <w:sz w:val="27"/>
          <w:szCs w:val="27"/>
        </w:rPr>
        <w:t>人。</w:t>
      </w:r>
    </w:p>
    <w:p w14:paraId="4542995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三、2023年度</w:t>
      </w:r>
      <w:r>
        <w:rPr>
          <w:rFonts w:hint="eastAsia" w:ascii="黑体" w:hAnsi="黑体" w:eastAsia="黑体" w:cs="黑体"/>
          <w:b/>
          <w:bCs/>
          <w:kern w:val="0"/>
          <w:sz w:val="27"/>
          <w:szCs w:val="27"/>
          <w:lang w:eastAsia="zh-CN"/>
        </w:rPr>
        <w:t>单位</w:t>
      </w:r>
      <w:r>
        <w:rPr>
          <w:rFonts w:ascii="黑体" w:hAnsi="黑体" w:eastAsia="黑体" w:cs="黑体"/>
          <w:b/>
          <w:bCs/>
          <w:kern w:val="0"/>
          <w:sz w:val="27"/>
          <w:szCs w:val="27"/>
        </w:rPr>
        <w:t>主要工作完成情况</w:t>
      </w:r>
    </w:p>
    <w:p w14:paraId="5EE7D46A">
      <w:pPr>
        <w:widowControl/>
        <w:spacing w:before="240" w:after="240"/>
        <w:ind w:firstLine="540" w:firstLineChars="200"/>
        <w:jc w:val="left"/>
        <w:rPr>
          <w:rFonts w:ascii="Times New Roman" w:hAnsi="Times New Roman" w:eastAsia="Times New Roman" w:cs="Times New Roman"/>
          <w:kern w:val="0"/>
          <w:sz w:val="24"/>
        </w:rPr>
      </w:pPr>
      <w:r>
        <w:rPr>
          <w:rFonts w:hint="eastAsia" w:ascii="fang_song_gb2312" w:hAnsi="fang_song_gb2312" w:eastAsia="fang_song_gb2312" w:cs="fang_song_gb2312"/>
          <w:color w:val="auto"/>
          <w:kern w:val="0"/>
          <w:sz w:val="27"/>
          <w:szCs w:val="27"/>
        </w:rPr>
        <w:t>2023 年，巴彦淖尔市第二医院在市委市政府及市卫健委领导下，围绕重点任务与医药反腐专项行动积极开展工作，较好的完成年度目标。主要业务指标方面，门诊诊疗患者 8651 人次，截至 11 月医疗总收入 855.24 万元，医保运行平稳，传染病报告准确及时，结核病筛查工作扎实推进。党建工作以党建统领，落实全面</w:t>
      </w:r>
      <w:bookmarkStart w:id="1" w:name="_GoBack"/>
      <w:bookmarkEnd w:id="1"/>
      <w:r>
        <w:rPr>
          <w:rFonts w:hint="eastAsia" w:ascii="fang_song_gb2312" w:hAnsi="fang_song_gb2312" w:eastAsia="fang_song_gb2312" w:cs="fang_song_gb2312"/>
          <w:color w:val="auto"/>
          <w:kern w:val="0"/>
          <w:sz w:val="27"/>
          <w:szCs w:val="27"/>
        </w:rPr>
        <w:t>从严治党，深化理论武装，开展主题教育，强化党风廉政建设，发挥党员先锋模范作用，推进党建带群建、党组织建设和依法治院。优质服务上，加强医疗管理，深化服务内涵，提升专业技能，医技科室完成目标任务。借医药反腐行动夯实作风建设，开展专项整治，完善医德医风考核制度，通过自查自纠推进院感精准质控，优化防控措施、规范报告管理。深化医改提升就医体验，落实医保政策、加强信息化建设、开展药品带量采购。新院建成投用，加强人才队伍建设，开展招聘与人员进修培养，加强医院文化建设，开展公益活动，扎实开展安全生产工作，排查整治隐患。各项工作的稳步推进，确保了年度工作各项目标任务的有效完成。</w:t>
      </w:r>
    </w:p>
    <w:p w14:paraId="3CC1F4C6">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 xml:space="preserve">第二部分  </w:t>
      </w:r>
      <w:r>
        <w:rPr>
          <w:rFonts w:hint="eastAsia" w:ascii="fang_zheng_xiao_biao_song_ti" w:hAnsi="fang_zheng_xiao_biao_song_ti" w:eastAsia="宋体" w:cs="fang_zheng_xiao_biao_song_ti"/>
          <w:kern w:val="0"/>
          <w:sz w:val="36"/>
          <w:szCs w:val="36"/>
          <w:lang w:eastAsia="zh-CN"/>
        </w:rPr>
        <w:t>单位</w:t>
      </w:r>
      <w:r>
        <w:rPr>
          <w:rFonts w:ascii="fang_zheng_xiao_biao_song_ti" w:hAnsi="fang_zheng_xiao_biao_song_ti" w:eastAsia="fang_zheng_xiao_biao_song_ti" w:cs="fang_zheng_xiao_biao_song_ti"/>
          <w:kern w:val="0"/>
          <w:sz w:val="36"/>
          <w:szCs w:val="36"/>
        </w:rPr>
        <w:t>决算情况说明</w:t>
      </w:r>
    </w:p>
    <w:p w14:paraId="3902BB18">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14:paraId="0A12B39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年度收入、支出决算总计</w:t>
      </w:r>
      <w:r>
        <w:rPr>
          <w:rFonts w:ascii="times_new_roman" w:hAnsi="times_new_roman" w:eastAsia="times_new_roman" w:cs="times_new_roman"/>
          <w:kern w:val="0"/>
          <w:sz w:val="27"/>
          <w:szCs w:val="27"/>
          <w:u w:val="single"/>
        </w:rPr>
        <w:t xml:space="preserve"> 4,862.04</w:t>
      </w:r>
      <w:r>
        <w:rPr>
          <w:rFonts w:ascii="fang_song_gb2312" w:hAnsi="fang_song_gb2312" w:eastAsia="fang_song_gb2312" w:cs="fang_song_gb2312"/>
          <w:kern w:val="0"/>
          <w:sz w:val="27"/>
          <w:szCs w:val="27"/>
        </w:rPr>
        <w:t>万元。与年初预算相比，收、支总计各增加</w:t>
      </w:r>
      <w:r>
        <w:rPr>
          <w:rFonts w:ascii="times_new_roman" w:hAnsi="times_new_roman" w:eastAsia="times_new_roman" w:cs="times_new_roman"/>
          <w:kern w:val="0"/>
          <w:sz w:val="27"/>
          <w:szCs w:val="27"/>
          <w:u w:val="single"/>
        </w:rPr>
        <w:t xml:space="preserve"> 1,809.52</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59.28</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2022年下拨巴彦淖尔市第二医院（市传染病医院）建设项目款项，原传染病医院医院与结核病防治所账务合并，决算中包含医院事业收入</w:t>
      </w:r>
      <w:r>
        <w:rPr>
          <w:rFonts w:hint="eastAsia" w:ascii="fang_song_gb2312" w:hAnsi="fang_song_gb2312" w:cs="fang_song_gb2312"/>
          <w:kern w:val="0"/>
          <w:sz w:val="27"/>
          <w:szCs w:val="27"/>
          <w:lang w:eastAsia="zh-CN"/>
        </w:rPr>
        <w:t>，</w:t>
      </w:r>
      <w:r>
        <w:rPr>
          <w:rFonts w:hint="eastAsia" w:ascii="fang_song_gb2312" w:hAnsi="fang_song_gb2312" w:cs="fang_song_gb2312"/>
          <w:kern w:val="0"/>
          <w:sz w:val="27"/>
          <w:szCs w:val="27"/>
          <w:lang w:val="en-US" w:eastAsia="zh-CN"/>
        </w:rPr>
        <w:t>2023年项目尾款金额较2022年大幅度减少</w:t>
      </w:r>
      <w:r>
        <w:rPr>
          <w:rFonts w:ascii="fang_song_gb2312" w:hAnsi="fang_song_gb2312" w:eastAsia="fang_song_gb2312" w:cs="fang_song_gb2312"/>
          <w:kern w:val="0"/>
          <w:sz w:val="27"/>
          <w:szCs w:val="27"/>
        </w:rPr>
        <w:t>；与上年决算相比，收、支总计各减少</w:t>
      </w:r>
      <w:r>
        <w:rPr>
          <w:rFonts w:ascii="times_new_roman" w:hAnsi="times_new_roman" w:eastAsia="times_new_roman" w:cs="times_new_roman"/>
          <w:kern w:val="0"/>
          <w:sz w:val="27"/>
          <w:szCs w:val="27"/>
          <w:u w:val="single"/>
        </w:rPr>
        <w:t>7,971.62</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62.11</w:t>
      </w:r>
      <w:r>
        <w:rPr>
          <w:rFonts w:ascii="fang_song_gb2312" w:hAnsi="fang_song_gb2312" w:eastAsia="fang_song_gb2312" w:cs="fang_song_gb2312"/>
          <w:kern w:val="0"/>
          <w:sz w:val="27"/>
          <w:szCs w:val="27"/>
        </w:rPr>
        <w:t>%。其中：</w:t>
      </w:r>
    </w:p>
    <w:p w14:paraId="5CB3D3DB">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（一）收入决算总计</w:t>
      </w:r>
      <w:r>
        <w:rPr>
          <w:rFonts w:ascii="times_new_roman" w:hAnsi="times_new_roman" w:eastAsia="times_new_roman" w:cs="times_new_roman"/>
          <w:b/>
          <w:bCs/>
          <w:kern w:val="0"/>
          <w:sz w:val="27"/>
          <w:szCs w:val="27"/>
          <w:u w:val="single"/>
        </w:rPr>
        <w:t xml:space="preserve"> 4,862.04</w:t>
      </w:r>
      <w:r>
        <w:rPr>
          <w:rFonts w:ascii="kai_ti_gb2312" w:hAnsi="kai_ti_gb2312" w:eastAsia="kai_ti_gb2312" w:cs="kai_ti_gb2312"/>
          <w:b/>
          <w:bCs/>
          <w:kern w:val="0"/>
          <w:sz w:val="27"/>
          <w:szCs w:val="27"/>
        </w:rPr>
        <w:t>万元。包括：</w:t>
      </w:r>
    </w:p>
    <w:p w14:paraId="164FFF5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1.本年收入决算合计</w:t>
      </w:r>
      <w:r>
        <w:rPr>
          <w:rFonts w:ascii="times_new_roman" w:hAnsi="times_new_roman" w:eastAsia="times_new_roman" w:cs="times_new_roman"/>
          <w:kern w:val="0"/>
          <w:sz w:val="27"/>
          <w:szCs w:val="27"/>
          <w:u w:val="single"/>
        </w:rPr>
        <w:t xml:space="preserve"> 4,574.25</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8,141.06</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64.03</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2022年下拨巴彦淖尔市第二医院（市传染病医院）建设项目款项，原传染病医院医院与结核病防治所账务合并，决算中包含医院事业收入</w:t>
      </w:r>
      <w:r>
        <w:rPr>
          <w:rFonts w:hint="eastAsia" w:ascii="fang_song_gb2312" w:hAnsi="fang_song_gb2312" w:cs="fang_song_gb2312"/>
          <w:kern w:val="0"/>
          <w:sz w:val="27"/>
          <w:szCs w:val="27"/>
          <w:lang w:val="en-US" w:eastAsia="zh-CN"/>
        </w:rPr>
        <w:t>,但2023项目尾款金额较2022年大幅度减少，因此本年收入决算也大幅度减少</w:t>
      </w:r>
      <w:r>
        <w:rPr>
          <w:rFonts w:ascii="fang_song_gb2312" w:hAnsi="fang_song_gb2312" w:eastAsia="fang_song_gb2312" w:cs="fang_song_gb2312"/>
          <w:kern w:val="0"/>
          <w:sz w:val="27"/>
          <w:szCs w:val="27"/>
        </w:rPr>
        <w:t>。</w:t>
      </w:r>
    </w:p>
    <w:p w14:paraId="7AADFF8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2.使用非财政拨款结余和专用结余</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不存在此项内容</w:t>
      </w:r>
      <w:r>
        <w:rPr>
          <w:rFonts w:ascii="fang_song_gb2312" w:hAnsi="fang_song_gb2312" w:eastAsia="fang_song_gb2312" w:cs="fang_song_gb2312"/>
          <w:kern w:val="0"/>
          <w:sz w:val="27"/>
          <w:szCs w:val="27"/>
        </w:rPr>
        <w:t>。</w:t>
      </w:r>
    </w:p>
    <w:p w14:paraId="24C32D4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3.年初结转和结余 </w:t>
      </w:r>
      <w:r>
        <w:rPr>
          <w:rFonts w:ascii="times_new_roman" w:hAnsi="times_new_roman" w:eastAsia="times_new_roman" w:cs="times_new_roman"/>
          <w:kern w:val="0"/>
          <w:sz w:val="27"/>
          <w:szCs w:val="27"/>
          <w:u w:val="single"/>
        </w:rPr>
        <w:t>287.79</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 xml:space="preserve"> 169.44</w:t>
      </w:r>
      <w:r>
        <w:rPr>
          <w:rFonts w:ascii="fang_song_gb2312" w:hAnsi="fang_song_gb2312" w:eastAsia="fang_song_gb2312" w:cs="fang_song_gb2312"/>
          <w:kern w:val="0"/>
          <w:sz w:val="27"/>
          <w:szCs w:val="27"/>
        </w:rPr>
        <w:t>万元，增减少</w:t>
      </w:r>
      <w:r>
        <w:rPr>
          <w:rFonts w:ascii="times_new_roman" w:hAnsi="times_new_roman" w:eastAsia="times_new_roman" w:cs="times_new_roman"/>
          <w:kern w:val="0"/>
          <w:sz w:val="27"/>
          <w:szCs w:val="27"/>
          <w:u w:val="single"/>
        </w:rPr>
        <w:t xml:space="preserve"> 143.18</w:t>
      </w:r>
      <w:r>
        <w:rPr>
          <w:rFonts w:ascii="fang_song_gb2312" w:hAnsi="fang_song_gb2312" w:eastAsia="fang_song_gb2312" w:cs="fang_song_gb2312"/>
          <w:kern w:val="0"/>
          <w:sz w:val="27"/>
          <w:szCs w:val="27"/>
        </w:rPr>
        <w:t>%，变动原因：</w:t>
      </w:r>
      <w:r>
        <w:rPr>
          <w:rFonts w:hint="eastAsia" w:ascii="fang_song_gb2312" w:hAnsi="fang_song_gb2312" w:cs="fang_song_gb2312"/>
          <w:color w:val="auto"/>
          <w:kern w:val="0"/>
          <w:sz w:val="27"/>
          <w:szCs w:val="27"/>
          <w:lang w:val="en-US" w:eastAsia="zh-CN"/>
        </w:rPr>
        <w:t>2023年巴彦淖尔市第二医院建设项目接近尾声，收到的财政拨款以及建设项目支出相应的减少，因此年末结转和结余较上年减少</w:t>
      </w:r>
      <w:r>
        <w:rPr>
          <w:rFonts w:ascii="fang_song_gb2312" w:hAnsi="fang_song_gb2312" w:eastAsia="fang_song_gb2312" w:cs="fang_song_gb2312"/>
          <w:kern w:val="0"/>
          <w:sz w:val="27"/>
          <w:szCs w:val="27"/>
        </w:rPr>
        <w:t>。</w:t>
      </w:r>
    </w:p>
    <w:p w14:paraId="33639A53">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（二）支出决算总计</w:t>
      </w:r>
      <w:r>
        <w:rPr>
          <w:rFonts w:ascii="times_new_roman" w:hAnsi="times_new_roman" w:eastAsia="times_new_roman" w:cs="times_new_roman"/>
          <w:b/>
          <w:bCs/>
          <w:kern w:val="0"/>
          <w:sz w:val="27"/>
          <w:szCs w:val="27"/>
          <w:u w:val="single"/>
        </w:rPr>
        <w:t xml:space="preserve"> 4,862.04</w:t>
      </w:r>
      <w:r>
        <w:rPr>
          <w:rFonts w:ascii="kai_ti_gb2312" w:hAnsi="kai_ti_gb2312" w:eastAsia="kai_ti_gb2312" w:cs="kai_ti_gb2312"/>
          <w:b/>
          <w:bCs/>
          <w:kern w:val="0"/>
          <w:sz w:val="27"/>
          <w:szCs w:val="27"/>
        </w:rPr>
        <w:t>万元。包括：</w:t>
      </w:r>
    </w:p>
    <w:p w14:paraId="7B0E75A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1.本年支出决算合计</w:t>
      </w:r>
      <w:r>
        <w:rPr>
          <w:rFonts w:ascii="times_new_roman" w:hAnsi="times_new_roman" w:eastAsia="times_new_roman" w:cs="times_new_roman"/>
          <w:kern w:val="0"/>
          <w:sz w:val="27"/>
          <w:szCs w:val="27"/>
          <w:u w:val="single"/>
        </w:rPr>
        <w:t xml:space="preserve"> 4,684.38</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7,861.50</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62.66</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2022年增加巴彦淖尔市第二医院（市传染病医院）建设项目支出，且原传染病医院医院与结核病防治所账务合并，决算中包含医院事业支出</w:t>
      </w:r>
      <w:r>
        <w:rPr>
          <w:rFonts w:hint="eastAsia" w:ascii="fang_song_gb2312" w:hAnsi="fang_song_gb2312" w:cs="fang_song_gb2312"/>
          <w:kern w:val="0"/>
          <w:sz w:val="27"/>
          <w:szCs w:val="27"/>
          <w:lang w:eastAsia="zh-CN"/>
        </w:rPr>
        <w:t>，但</w:t>
      </w:r>
      <w:r>
        <w:rPr>
          <w:rFonts w:hint="eastAsia" w:ascii="fang_song_gb2312" w:hAnsi="fang_song_gb2312" w:cs="fang_song_gb2312"/>
          <w:kern w:val="0"/>
          <w:sz w:val="27"/>
          <w:szCs w:val="27"/>
          <w:lang w:val="en-US" w:eastAsia="zh-CN"/>
        </w:rPr>
        <w:t>2023项目尾款金额较2022年大幅度减少因此本年支出决算也大幅度减少</w:t>
      </w:r>
      <w:r>
        <w:rPr>
          <w:rFonts w:ascii="fang_song_gb2312" w:hAnsi="fang_song_gb2312" w:eastAsia="fang_song_gb2312" w:cs="fang_song_gb2312"/>
          <w:kern w:val="0"/>
          <w:sz w:val="27"/>
          <w:szCs w:val="27"/>
        </w:rPr>
        <w:t>。</w:t>
      </w:r>
    </w:p>
    <w:p w14:paraId="440F2A9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2.结余分配</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万元。结余分配事项：</w:t>
      </w:r>
      <w:r>
        <w:rPr>
          <w:rFonts w:hint="eastAsia" w:ascii="fang_song_gb2312" w:hAnsi="fang_song_gb2312" w:eastAsia="fang_song_gb2312" w:cs="fang_song_gb2312"/>
          <w:kern w:val="0"/>
          <w:sz w:val="27"/>
          <w:szCs w:val="27"/>
        </w:rPr>
        <w:t>不存在此项内容</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rPr>
        <w:t>不存在此项内容</w:t>
      </w:r>
      <w:r>
        <w:rPr>
          <w:rFonts w:ascii="fang_song_gb2312" w:hAnsi="fang_song_gb2312" w:eastAsia="fang_song_gb2312" w:cs="fang_song_gb2312"/>
          <w:kern w:val="0"/>
          <w:sz w:val="27"/>
          <w:szCs w:val="27"/>
        </w:rPr>
        <w:t>。</w:t>
      </w:r>
    </w:p>
    <w:p w14:paraId="14DB550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3.年末结转和结余</w:t>
      </w:r>
      <w:r>
        <w:rPr>
          <w:rFonts w:ascii="times_new_roman" w:hAnsi="times_new_roman" w:eastAsia="times_new_roman" w:cs="times_new_roman"/>
          <w:kern w:val="0"/>
          <w:sz w:val="27"/>
          <w:szCs w:val="27"/>
          <w:u w:val="single"/>
        </w:rPr>
        <w:t xml:space="preserve"> 177.66</w:t>
      </w:r>
      <w:r>
        <w:rPr>
          <w:rFonts w:ascii="fang_song_gb2312" w:hAnsi="fang_song_gb2312" w:eastAsia="fang_song_gb2312" w:cs="fang_song_gb2312"/>
          <w:kern w:val="0"/>
          <w:sz w:val="27"/>
          <w:szCs w:val="27"/>
        </w:rPr>
        <w:t>万元。结转和结余事项：</w:t>
      </w:r>
      <w:r>
        <w:rPr>
          <w:rFonts w:hint="eastAsia" w:ascii="fang_song_gb2312" w:hAnsi="fang_song_gb2312" w:cs="fang_song_gb2312"/>
          <w:kern w:val="0"/>
          <w:sz w:val="27"/>
          <w:szCs w:val="27"/>
          <w:lang w:eastAsia="zh-CN"/>
        </w:rPr>
        <w:t>基本支出结转和结余</w:t>
      </w:r>
      <w:r>
        <w:rPr>
          <w:rFonts w:hint="eastAsia" w:ascii="fang_song_gb2312" w:hAnsi="fang_song_gb2312" w:cs="fang_song_gb2312"/>
          <w:kern w:val="0"/>
          <w:sz w:val="27"/>
          <w:szCs w:val="27"/>
          <w:u w:val="single"/>
          <w:lang w:val="en-US" w:eastAsia="zh-CN"/>
        </w:rPr>
        <w:t>176.66</w:t>
      </w:r>
      <w:r>
        <w:rPr>
          <w:rFonts w:hint="eastAsia" w:ascii="fang_song_gb2312" w:hAnsi="fang_song_gb2312" w:cs="fang_song_gb2312"/>
          <w:kern w:val="0"/>
          <w:sz w:val="27"/>
          <w:szCs w:val="27"/>
          <w:lang w:val="en-US" w:eastAsia="zh-CN"/>
        </w:rPr>
        <w:t>万元</w:t>
      </w:r>
      <w:r>
        <w:rPr>
          <w:rFonts w:hint="eastAsia" w:ascii="fang_song_gb2312" w:hAnsi="fang_song_gb2312" w:cs="fang_song_gb2312"/>
          <w:kern w:val="0"/>
          <w:sz w:val="27"/>
          <w:szCs w:val="27"/>
          <w:lang w:eastAsia="zh-CN"/>
        </w:rPr>
        <w:t>，项目支出结转和结余</w:t>
      </w:r>
      <w:r>
        <w:rPr>
          <w:rFonts w:hint="eastAsia" w:ascii="fang_song_gb2312" w:hAnsi="fang_song_gb2312" w:cs="fang_song_gb2312"/>
          <w:kern w:val="0"/>
          <w:sz w:val="27"/>
          <w:szCs w:val="27"/>
          <w:u w:val="single"/>
          <w:lang w:val="en-US" w:eastAsia="zh-CN"/>
        </w:rPr>
        <w:t>1</w:t>
      </w:r>
      <w:r>
        <w:rPr>
          <w:rFonts w:hint="eastAsia" w:ascii="fang_song_gb2312" w:hAnsi="fang_song_gb2312" w:cs="fang_song_gb2312"/>
          <w:kern w:val="0"/>
          <w:sz w:val="27"/>
          <w:szCs w:val="27"/>
          <w:lang w:val="en-US" w:eastAsia="zh-CN"/>
        </w:rPr>
        <w:t>万元</w:t>
      </w:r>
      <w:r>
        <w:rPr>
          <w:rFonts w:ascii="fang_song_gb2312" w:hAnsi="fang_song_gb2312" w:eastAsia="fang_song_gb2312" w:cs="fang_song_gb2312"/>
          <w:kern w:val="0"/>
          <w:sz w:val="27"/>
          <w:szCs w:val="27"/>
        </w:rPr>
        <w:t>。与上年决算相比，减少</w:t>
      </w:r>
      <w:r>
        <w:rPr>
          <w:rFonts w:ascii="times_new_roman" w:hAnsi="times_new_roman" w:eastAsia="times_new_roman" w:cs="times_new_roman"/>
          <w:kern w:val="0"/>
          <w:sz w:val="27"/>
          <w:szCs w:val="27"/>
          <w:u w:val="single"/>
        </w:rPr>
        <w:t>110.13</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38.27</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val="en-US" w:eastAsia="zh-CN"/>
        </w:rPr>
        <w:t>2023年巴彦淖尔市第二医院建设项目接近尾声，收到的财政拨款以及建设项目支出相应的减少，因此年末结转和结余较上年减少。</w:t>
      </w:r>
      <w:r>
        <w:rPr>
          <w:rFonts w:ascii="fang_song_gb2312" w:hAnsi="fang_song_gb2312" w:eastAsia="fang_song_gb2312" w:cs="fang_song_gb2312"/>
          <w:color w:val="0E00FE"/>
          <w:kern w:val="0"/>
          <w:sz w:val="27"/>
          <w:szCs w:val="27"/>
        </w:rPr>
        <w:t xml:space="preserve">  </w:t>
      </w:r>
    </w:p>
    <w:p w14:paraId="7ED3FB72">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14:paraId="6421831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年度本年收入决算合计</w:t>
      </w:r>
      <w:r>
        <w:rPr>
          <w:rFonts w:ascii="times_new_roman" w:hAnsi="times_new_roman" w:eastAsia="times_new_roman" w:cs="times_new_roman"/>
          <w:kern w:val="0"/>
          <w:sz w:val="27"/>
          <w:szCs w:val="27"/>
          <w:u w:val="single"/>
        </w:rPr>
        <w:t xml:space="preserve"> 4,574.25</w:t>
      </w:r>
      <w:r>
        <w:rPr>
          <w:rFonts w:ascii="fang_song_gb2312" w:hAnsi="fang_song_gb2312" w:eastAsia="fang_song_gb2312" w:cs="fang_song_gb2312"/>
          <w:kern w:val="0"/>
          <w:sz w:val="27"/>
          <w:szCs w:val="27"/>
        </w:rPr>
        <w:t>万元，其中：</w:t>
      </w:r>
    </w:p>
    <w:p w14:paraId="770F5E79">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本年一般公共预算财政拨款收入</w:t>
      </w:r>
      <w:r>
        <w:rPr>
          <w:rFonts w:ascii="times_new_roman" w:hAnsi="times_new_roman" w:eastAsia="times_new_roman" w:cs="times_new_roman"/>
          <w:kern w:val="0"/>
          <w:sz w:val="27"/>
          <w:szCs w:val="27"/>
          <w:u w:val="single"/>
        </w:rPr>
        <w:t xml:space="preserve"> 1,930.85</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42.21</w:t>
      </w:r>
      <w:r>
        <w:rPr>
          <w:rFonts w:ascii="fang_song_gb2312" w:hAnsi="fang_song_gb2312" w:eastAsia="fang_song_gb2312" w:cs="fang_song_gb2312"/>
          <w:kern w:val="0"/>
          <w:sz w:val="27"/>
          <w:szCs w:val="27"/>
        </w:rPr>
        <w:t>%；</w:t>
      </w:r>
    </w:p>
    <w:p w14:paraId="7353E2D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本年政府性基金预算财政拨款收入</w:t>
      </w:r>
      <w:r>
        <w:rPr>
          <w:rFonts w:ascii="times_new_roman" w:hAnsi="times_new_roman" w:eastAsia="times_new_roman" w:cs="times_new_roman"/>
          <w:kern w:val="0"/>
          <w:sz w:val="27"/>
          <w:szCs w:val="27"/>
          <w:u w:val="single"/>
        </w:rPr>
        <w:t xml:space="preserve"> 2,015.66</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44.07</w:t>
      </w:r>
      <w:r>
        <w:rPr>
          <w:rFonts w:ascii="fang_song_gb2312" w:hAnsi="fang_song_gb2312" w:eastAsia="fang_song_gb2312" w:cs="fang_song_gb2312"/>
          <w:kern w:val="0"/>
          <w:sz w:val="27"/>
          <w:szCs w:val="27"/>
        </w:rPr>
        <w:t>%；</w:t>
      </w:r>
    </w:p>
    <w:p w14:paraId="1A61E76C">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本年国有资本经营预算财政拨款收入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3ED03545">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本年上级补助收入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086674FF">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本年事业收入</w:t>
      </w:r>
      <w:r>
        <w:rPr>
          <w:rFonts w:ascii="times_new_roman" w:hAnsi="times_new_roman" w:eastAsia="times_new_roman" w:cs="times_new_roman"/>
          <w:kern w:val="0"/>
          <w:sz w:val="27"/>
          <w:szCs w:val="27"/>
          <w:u w:val="single"/>
        </w:rPr>
        <w:t xml:space="preserve"> 626.43</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13.69</w:t>
      </w:r>
      <w:r>
        <w:rPr>
          <w:rFonts w:ascii="fang_song_gb2312" w:hAnsi="fang_song_gb2312" w:eastAsia="fang_song_gb2312" w:cs="fang_song_gb2312"/>
          <w:kern w:val="0"/>
          <w:sz w:val="27"/>
          <w:szCs w:val="27"/>
        </w:rPr>
        <w:t>%；</w:t>
      </w:r>
    </w:p>
    <w:p w14:paraId="0BEE23B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7C84C93A">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本年附属单位上缴收入</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F8EA71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本年其他收入</w:t>
      </w:r>
      <w:r>
        <w:rPr>
          <w:rFonts w:ascii="times_new_roman" w:hAnsi="times_new_roman" w:eastAsia="times_new_roman" w:cs="times_new_roman"/>
          <w:kern w:val="0"/>
          <w:sz w:val="27"/>
          <w:szCs w:val="27"/>
          <w:u w:val="single"/>
        </w:rPr>
        <w:t xml:space="preserve"> 1.31</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0.03</w:t>
      </w:r>
      <w:r>
        <w:rPr>
          <w:rFonts w:ascii="fang_song_gb2312" w:hAnsi="fang_song_gb2312" w:eastAsia="fang_song_gb2312" w:cs="fang_song_gb2312"/>
          <w:kern w:val="0"/>
          <w:sz w:val="27"/>
          <w:szCs w:val="27"/>
        </w:rPr>
        <w:t>%。</w:t>
      </w:r>
    </w:p>
    <w:p w14:paraId="2B28ECEB">
      <w:pPr>
        <w:widowControl/>
        <w:spacing w:before="240" w:after="240"/>
        <w:jc w:val="left"/>
        <w:rPr>
          <w:rFonts w:hint="eastAsia" w:ascii="Times New Roman" w:hAnsi="Times New Roman" w:eastAsia="宋体" w:cs="Times New Roman"/>
          <w:kern w:val="0"/>
          <w:sz w:val="24"/>
          <w:lang w:eastAsia="zh-CN"/>
        </w:rPr>
      </w:pPr>
      <w:r>
        <w:drawing>
          <wp:inline distT="0" distB="0" distL="114300" distR="114300">
            <wp:extent cx="4826000" cy="2627630"/>
            <wp:effectExtent l="4445" t="4445" r="8255" b="1587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41DA24F">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.收入决算图</w:t>
      </w:r>
    </w:p>
    <w:p w14:paraId="787D5D5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14:paraId="3A12C508">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内蒙古自治区巴彦淖尔市第二医院 2023年度本年支出决算合计</w:t>
      </w:r>
      <w:r>
        <w:rPr>
          <w:rFonts w:ascii="times_new_roman" w:hAnsi="times_new_roman" w:eastAsia="times_new_roman" w:cs="times_new_roman"/>
          <w:kern w:val="0"/>
          <w:sz w:val="27"/>
          <w:szCs w:val="27"/>
          <w:u w:val="single"/>
        </w:rPr>
        <w:t xml:space="preserve"> 4,684.38</w:t>
      </w:r>
      <w:r>
        <w:rPr>
          <w:rFonts w:ascii="fang_song_gb2312" w:hAnsi="fang_song_gb2312" w:eastAsia="fang_song_gb2312" w:cs="fang_song_gb2312"/>
          <w:kern w:val="0"/>
          <w:sz w:val="27"/>
          <w:szCs w:val="27"/>
        </w:rPr>
        <w:t>万元，其中：</w:t>
      </w:r>
    </w:p>
    <w:p w14:paraId="47580B1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本年基本支出</w:t>
      </w:r>
      <w:r>
        <w:rPr>
          <w:rFonts w:ascii="times_new_roman" w:hAnsi="times_new_roman" w:eastAsia="times_new_roman" w:cs="times_new_roman"/>
          <w:kern w:val="0"/>
          <w:sz w:val="27"/>
          <w:szCs w:val="27"/>
          <w:u w:val="single"/>
        </w:rPr>
        <w:t xml:space="preserve"> 1,743.48</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37.22</w:t>
      </w:r>
      <w:r>
        <w:rPr>
          <w:rFonts w:ascii="fang_song_gb2312" w:hAnsi="fang_song_gb2312" w:eastAsia="fang_song_gb2312" w:cs="fang_song_gb2312"/>
          <w:kern w:val="0"/>
          <w:sz w:val="27"/>
          <w:szCs w:val="27"/>
        </w:rPr>
        <w:t>%；</w:t>
      </w:r>
    </w:p>
    <w:p w14:paraId="0559EDD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本年项目支出</w:t>
      </w:r>
      <w:r>
        <w:rPr>
          <w:rFonts w:ascii="times_new_roman" w:hAnsi="times_new_roman" w:eastAsia="times_new_roman" w:cs="times_new_roman"/>
          <w:kern w:val="0"/>
          <w:sz w:val="27"/>
          <w:szCs w:val="27"/>
          <w:u w:val="single"/>
        </w:rPr>
        <w:t xml:space="preserve"> 2,940.90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62.78</w:t>
      </w:r>
      <w:r>
        <w:rPr>
          <w:rFonts w:ascii="fang_song_gb2312" w:hAnsi="fang_song_gb2312" w:eastAsia="fang_song_gb2312" w:cs="fang_song_gb2312"/>
          <w:kern w:val="0"/>
          <w:sz w:val="27"/>
          <w:szCs w:val="27"/>
        </w:rPr>
        <w:t>%；</w:t>
      </w:r>
    </w:p>
    <w:p w14:paraId="38EDFEC6">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本年上缴上级支出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0A6452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本年经营支出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582E14F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本年对附属单位补助支出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w:t>
      </w:r>
    </w:p>
    <w:p w14:paraId="2178AC2C">
      <w:pPr>
        <w:widowControl/>
        <w:spacing w:before="240" w:after="240"/>
        <w:jc w:val="left"/>
        <w:rPr>
          <w:rFonts w:ascii="Times New Roman" w:hAnsi="Times New Roman" w:eastAsia="Times New Roman" w:cs="Times New Roman"/>
          <w:kern w:val="0"/>
          <w:sz w:val="24"/>
        </w:rPr>
      </w:pPr>
      <w:r>
        <w:drawing>
          <wp:inline distT="0" distB="0" distL="114300" distR="114300">
            <wp:extent cx="4826000" cy="2743200"/>
            <wp:effectExtent l="4445" t="4445" r="825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D561750">
      <w:pPr>
        <w:widowControl/>
        <w:spacing w:before="240" w:after="240"/>
        <w:jc w:val="center"/>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图2.支出决算图</w:t>
      </w:r>
    </w:p>
    <w:p w14:paraId="06C62F19">
      <w:pPr>
        <w:widowControl/>
        <w:spacing w:before="240" w:after="240"/>
        <w:jc w:val="left"/>
        <w:rPr>
          <w:rFonts w:ascii="Times New Roman" w:hAnsi="Times New Roman" w:eastAsia="Times New Roman" w:cs="Times New Roman"/>
          <w:kern w:val="0"/>
          <w:sz w:val="24"/>
        </w:rPr>
      </w:pPr>
    </w:p>
    <w:p w14:paraId="7FD23E6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14:paraId="652EA09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年度财政拨款收入、支出决算总计</w:t>
      </w:r>
      <w:r>
        <w:rPr>
          <w:rFonts w:ascii="times_new_roman" w:hAnsi="times_new_roman" w:eastAsia="times_new_roman" w:cs="times_new_roman"/>
          <w:kern w:val="0"/>
          <w:sz w:val="27"/>
          <w:szCs w:val="27"/>
          <w:u w:val="single"/>
        </w:rPr>
        <w:t xml:space="preserve"> 3,964.37</w:t>
      </w:r>
      <w:r>
        <w:rPr>
          <w:rFonts w:ascii="fang_song_gb2312" w:hAnsi="fang_song_gb2312" w:eastAsia="fang_song_gb2312" w:cs="fang_song_gb2312"/>
          <w:kern w:val="0"/>
          <w:sz w:val="27"/>
          <w:szCs w:val="27"/>
        </w:rPr>
        <w:t>万元，与年初预算相比，收、支总计各增加（减少）</w:t>
      </w:r>
      <w:r>
        <w:rPr>
          <w:rFonts w:ascii="times_new_roman" w:hAnsi="times_new_roman" w:eastAsia="times_new_roman" w:cs="times_new_roman"/>
          <w:kern w:val="0"/>
          <w:sz w:val="27"/>
          <w:szCs w:val="27"/>
          <w:u w:val="single"/>
        </w:rPr>
        <w:t xml:space="preserve"> 911.84</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29.87</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val="en-US" w:eastAsia="zh-CN"/>
        </w:rPr>
        <w:t>2023年巴彦淖尔市第二医院建设项目接近尾声，收到的财政拨款以及建设项目支出相应的减少</w:t>
      </w:r>
      <w:r>
        <w:rPr>
          <w:rFonts w:ascii="fang_song_gb2312" w:hAnsi="fang_song_gb2312" w:eastAsia="fang_song_gb2312" w:cs="fang_song_gb2312"/>
          <w:kern w:val="0"/>
          <w:sz w:val="27"/>
          <w:szCs w:val="27"/>
        </w:rPr>
        <w:t>；与上年决算相比，收、支总计各增加（减少）</w:t>
      </w:r>
      <w:r>
        <w:rPr>
          <w:rFonts w:ascii="times_new_roman" w:hAnsi="times_new_roman" w:eastAsia="times_new_roman" w:cs="times_new_roman"/>
          <w:kern w:val="0"/>
          <w:sz w:val="27"/>
          <w:szCs w:val="27"/>
          <w:u w:val="single"/>
        </w:rPr>
        <w:t xml:space="preserve"> -7,965.49</w:t>
      </w:r>
      <w:r>
        <w:rPr>
          <w:rFonts w:ascii="fang_song_gb2312" w:hAnsi="fang_song_gb2312" w:eastAsia="fang_song_gb2312" w:cs="fang_song_gb2312"/>
          <w:kern w:val="0"/>
          <w:sz w:val="27"/>
          <w:szCs w:val="27"/>
        </w:rPr>
        <w:t>万元，增长（减少）</w:t>
      </w:r>
      <w:r>
        <w:rPr>
          <w:rFonts w:ascii="times_new_roman" w:hAnsi="times_new_roman" w:eastAsia="times_new_roman" w:cs="times_new_roman"/>
          <w:kern w:val="0"/>
          <w:sz w:val="27"/>
          <w:szCs w:val="27"/>
          <w:u w:val="single"/>
        </w:rPr>
        <w:t xml:space="preserve"> -66.77</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val="en-US" w:eastAsia="zh-CN"/>
        </w:rPr>
        <w:t>2023年巴彦淖尔市第二医院建设项目接近尾声，收到的财政拨款以及建设项目支出相应的减少。</w:t>
      </w:r>
    </w:p>
    <w:p w14:paraId="613E4397">
      <w:pPr>
        <w:widowControl/>
        <w:numPr>
          <w:ilvl w:val="0"/>
          <w:numId w:val="1"/>
        </w:numPr>
        <w:spacing w:before="240" w:after="240"/>
        <w:ind w:left="393" w:leftChars="0" w:firstLine="0" w:firstLineChars="0"/>
        <w:jc w:val="left"/>
        <w:rPr>
          <w:rFonts w:ascii="黑体" w:hAnsi="黑体" w:eastAsia="黑体" w:cs="黑体"/>
          <w:b/>
          <w:bCs/>
          <w:kern w:val="0"/>
          <w:sz w:val="27"/>
          <w:szCs w:val="27"/>
        </w:rPr>
      </w:pPr>
      <w:r>
        <w:rPr>
          <w:rFonts w:ascii="黑体" w:hAnsi="黑体" w:eastAsia="黑体" w:cs="黑体"/>
          <w:b/>
          <w:bCs/>
          <w:kern w:val="0"/>
          <w:sz w:val="27"/>
          <w:szCs w:val="27"/>
        </w:rPr>
        <w:t>一般公共预算财政拨款支出决算情况说明</w:t>
      </w:r>
    </w:p>
    <w:p w14:paraId="6834CA5C">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0" w:firstLineChars="200"/>
        <w:jc w:val="left"/>
        <w:textAlignment w:val="auto"/>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年度一般公共预算财政拨款支出决算</w:t>
      </w:r>
      <w:r>
        <w:rPr>
          <w:rFonts w:ascii="times_new_roman" w:hAnsi="times_new_roman" w:eastAsia="times_new_roman" w:cs="times_new_roman"/>
          <w:kern w:val="0"/>
          <w:sz w:val="27"/>
          <w:szCs w:val="27"/>
          <w:u w:val="single"/>
        </w:rPr>
        <w:t xml:space="preserve"> 1,941.45</w:t>
      </w:r>
      <w:r>
        <w:rPr>
          <w:rFonts w:ascii="fang_song_gb2312" w:hAnsi="fang_song_gb2312" w:eastAsia="fang_song_gb2312" w:cs="fang_song_gb2312"/>
          <w:kern w:val="0"/>
          <w:sz w:val="27"/>
          <w:szCs w:val="27"/>
        </w:rPr>
        <w:t>万元。与年初预算</w:t>
      </w:r>
      <w:r>
        <w:rPr>
          <w:rFonts w:ascii="times_new_roman" w:hAnsi="times_new_roman" w:eastAsia="times_new_roman" w:cs="times_new_roman"/>
          <w:kern w:val="0"/>
          <w:sz w:val="27"/>
          <w:szCs w:val="27"/>
          <w:u w:val="single"/>
        </w:rPr>
        <w:t xml:space="preserve"> 1,036.86</w:t>
      </w:r>
      <w:r>
        <w:rPr>
          <w:rFonts w:ascii="fang_song_gb2312" w:hAnsi="fang_song_gb2312" w:eastAsia="fang_song_gb2312" w:cs="fang_song_gb2312"/>
          <w:kern w:val="0"/>
          <w:sz w:val="27"/>
          <w:szCs w:val="27"/>
        </w:rPr>
        <w:t>万元相比，完成年初预算的</w:t>
      </w:r>
      <w:r>
        <w:rPr>
          <w:rFonts w:ascii="times_new_roman" w:hAnsi="times_new_roman" w:eastAsia="times_new_roman" w:cs="times_new_roman"/>
          <w:kern w:val="0"/>
          <w:sz w:val="27"/>
          <w:szCs w:val="27"/>
          <w:u w:val="single"/>
        </w:rPr>
        <w:t>187.24</w:t>
      </w:r>
      <w:r>
        <w:rPr>
          <w:rFonts w:ascii="fang_song_gb2312" w:hAnsi="fang_song_gb2312" w:eastAsia="fang_song_gb2312" w:cs="fang_song_gb2312"/>
          <w:kern w:val="0"/>
          <w:sz w:val="27"/>
          <w:szCs w:val="27"/>
        </w:rPr>
        <w:t>%。其中：</w:t>
      </w:r>
    </w:p>
    <w:p w14:paraId="3D2715F2">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一</w:t>
      </w:r>
      <w:r>
        <w:rPr>
          <w:rFonts w:ascii="kai_ti_gb2312" w:hAnsi="kai_ti_gb2312" w:eastAsia="kai_ti_gb2312" w:cs="kai_ti_gb2312"/>
          <w:b/>
          <w:bCs/>
          <w:kern w:val="0"/>
          <w:sz w:val="27"/>
          <w:szCs w:val="27"/>
        </w:rPr>
        <w:t>）社会保障和就业支出（类）</w:t>
      </w:r>
    </w:p>
    <w:p w14:paraId="0D534D0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社会保障和就业支出类决算数为</w:t>
      </w:r>
      <w:r>
        <w:rPr>
          <w:rFonts w:ascii="times_new_roman" w:hAnsi="times_new_roman" w:eastAsia="times_new_roman" w:cs="times_new_roman"/>
          <w:kern w:val="0"/>
          <w:sz w:val="27"/>
          <w:szCs w:val="27"/>
          <w:u w:val="single"/>
        </w:rPr>
        <w:t xml:space="preserve"> 173.33</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42.21</w:t>
      </w:r>
      <w:r>
        <w:rPr>
          <w:rFonts w:ascii="fang_song_gb2312" w:hAnsi="fang_song_gb2312" w:eastAsia="fang_song_gb2312" w:cs="fang_song_gb2312"/>
          <w:kern w:val="0"/>
          <w:sz w:val="27"/>
          <w:szCs w:val="27"/>
        </w:rPr>
        <w:t>万元。其中：</w:t>
      </w:r>
    </w:p>
    <w:p w14:paraId="6DD5030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kern w:val="0"/>
          <w:sz w:val="27"/>
          <w:szCs w:val="27"/>
          <w:lang w:val="en-US" w:eastAsia="zh-CN"/>
        </w:rPr>
        <w:t>1</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行政事业单位养老支出（款）事业单位离退休（项）。年初预算</w:t>
      </w:r>
      <w:r>
        <w:rPr>
          <w:rFonts w:hint="eastAsia" w:ascii="times_new_roman" w:hAnsi="times_new_roman" w:cs="times_new_roman"/>
          <w:kern w:val="0"/>
          <w:sz w:val="27"/>
          <w:szCs w:val="27"/>
          <w:u w:val="single"/>
          <w:lang w:val="en-US" w:eastAsia="zh-CN"/>
        </w:rPr>
        <w:t>47.60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67.97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100.78</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val="en-US" w:eastAsia="zh-CN"/>
        </w:rPr>
        <w:t>年度退休职工增资财政追加本年事业单位离退休工资拨款。</w:t>
      </w:r>
    </w:p>
    <w:p w14:paraId="0D9734F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hint="eastAsia" w:ascii="times_new_roman" w:hAnsi="times_new_roman" w:cs="times_new_roman"/>
          <w:kern w:val="0"/>
          <w:sz w:val="27"/>
          <w:szCs w:val="27"/>
          <w:lang w:val="en-US" w:eastAsia="zh-CN"/>
        </w:rPr>
        <w:t>2</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行政事业单位养老支出（款）机关事业单位基本养老保险缴费支出（项）。年初预算</w:t>
      </w:r>
      <w:r>
        <w:rPr>
          <w:rFonts w:hint="eastAsia" w:ascii="times_new_roman" w:hAnsi="times_new_roman" w:cs="times_new_roman"/>
          <w:kern w:val="0"/>
          <w:sz w:val="27"/>
          <w:szCs w:val="27"/>
          <w:u w:val="single"/>
          <w:lang w:val="en-US" w:eastAsia="zh-CN"/>
        </w:rPr>
        <w:t>75.17</w:t>
      </w:r>
      <w:r>
        <w:rPr>
          <w:rFonts w:ascii="fang_song_gb2312" w:hAnsi="fang_song_gb2312" w:eastAsia="fang_song_gb2312" w:cs="fang_song_gb2312"/>
          <w:kern w:val="0"/>
          <w:sz w:val="27"/>
          <w:szCs w:val="27"/>
        </w:rPr>
        <w:t>万元，支出决算</w:t>
      </w:r>
      <w:r>
        <w:rPr>
          <w:rFonts w:hint="eastAsia" w:ascii="fang_song_gb2312" w:hAnsi="fang_song_gb2312" w:cs="fang_song_gb2312"/>
          <w:kern w:val="0"/>
          <w:sz w:val="27"/>
          <w:szCs w:val="27"/>
          <w:u w:val="single"/>
          <w:lang w:val="en-US" w:eastAsia="zh-CN"/>
        </w:rPr>
        <w:t>77.75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103.43</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年度职工增资财政追加本年机关事业单位基本养老保险拨款。</w:t>
      </w:r>
    </w:p>
    <w:p w14:paraId="2D8DE0F2">
      <w:pPr>
        <w:widowControl/>
        <w:spacing w:before="240" w:after="240"/>
        <w:ind w:firstLine="481"/>
        <w:jc w:val="left"/>
        <w:rPr>
          <w:rFonts w:hint="eastAsia" w:ascii="fang_song_gb2312" w:hAnsi="fang_song_gb2312" w:eastAsia="宋体" w:cs="fang_song_gb2312"/>
          <w:kern w:val="0"/>
          <w:sz w:val="27"/>
          <w:szCs w:val="27"/>
          <w:lang w:val="en-US" w:eastAsia="zh-CN"/>
        </w:rPr>
      </w:pPr>
      <w:r>
        <w:rPr>
          <w:rFonts w:hint="eastAsia" w:ascii="times_new_roman" w:hAnsi="times_new_roman" w:cs="times_new_roman"/>
          <w:kern w:val="0"/>
          <w:sz w:val="27"/>
          <w:szCs w:val="27"/>
          <w:lang w:val="en-US" w:eastAsia="zh-CN"/>
        </w:rPr>
        <w:t>3</w:t>
      </w:r>
      <w:r>
        <w:rPr>
          <w:rFonts w:ascii="times_new_roman" w:hAnsi="times_new_roman" w:eastAsia="times_new_roman" w:cs="times_new_roman"/>
          <w:kern w:val="0"/>
          <w:sz w:val="27"/>
          <w:szCs w:val="27"/>
        </w:rPr>
        <w:t>．</w:t>
      </w:r>
      <w:r>
        <w:rPr>
          <w:rFonts w:ascii="fang_song_gb2312" w:hAnsi="fang_song_gb2312" w:eastAsia="fang_song_gb2312" w:cs="fang_song_gb2312"/>
          <w:kern w:val="0"/>
          <w:sz w:val="27"/>
          <w:szCs w:val="27"/>
        </w:rPr>
        <w:t>行政事业单位养老支出（款）机关事业单位职业年金缴费支出（项）。年初预算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20.05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财政追加本年事业单位退休职工职业年金做实拨款，且年初无预算安排。</w:t>
      </w:r>
    </w:p>
    <w:p w14:paraId="43276977">
      <w:pPr>
        <w:widowControl/>
        <w:spacing w:before="240" w:after="240"/>
        <w:ind w:firstLine="481"/>
        <w:jc w:val="left"/>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抚恤</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死亡抚恤</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2.16</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遗属开始领取社保工资，放弃死亡抚恤金，该笔款项全部退回财政</w:t>
      </w:r>
      <w:r>
        <w:rPr>
          <w:rFonts w:hint="eastAsia" w:ascii="fang_song_gb2312" w:hAnsi="fang_song_gb2312" w:eastAsia="fang_song_gb2312" w:cs="fang_song_gb2312"/>
          <w:kern w:val="0"/>
          <w:sz w:val="27"/>
          <w:szCs w:val="27"/>
        </w:rPr>
        <w:t>。</w:t>
      </w:r>
    </w:p>
    <w:p w14:paraId="21A88B39">
      <w:pPr>
        <w:widowControl/>
        <w:spacing w:before="240" w:after="240"/>
        <w:ind w:firstLine="481"/>
        <w:jc w:val="left"/>
        <w:rPr>
          <w:rFonts w:hint="eastAsia"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（款）</w:t>
      </w:r>
      <w:r>
        <w:rPr>
          <w:rFonts w:hint="eastAsia" w:ascii="fang_song_gb2312" w:hAnsi="fang_song_gb2312" w:eastAsia="fang_song_gb2312" w:cs="fang_song_gb2312"/>
          <w:kern w:val="0"/>
          <w:sz w:val="27"/>
          <w:szCs w:val="27"/>
        </w:rPr>
        <w:t>其他社会保障和就业支出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6.19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7.56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122.13</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年度职工增资财政追加其他社会保障和就业保险拨款。</w:t>
      </w:r>
    </w:p>
    <w:p w14:paraId="385B4DE6">
      <w:pPr>
        <w:widowControl/>
        <w:spacing w:before="240" w:after="240"/>
        <w:jc w:val="left"/>
        <w:rPr>
          <w:rFonts w:ascii="kai_ti_gb2312" w:hAnsi="kai_ti_gb2312" w:eastAsia="kai_ti_gb2312" w:cs="kai_ti_gb2312"/>
          <w:b/>
          <w:bCs/>
          <w:kern w:val="0"/>
          <w:sz w:val="27"/>
          <w:szCs w:val="27"/>
        </w:rPr>
      </w:pPr>
      <w:r>
        <w:rPr>
          <w:rFonts w:ascii="fang_song_gb2312" w:hAnsi="fang_song_gb2312" w:eastAsia="fang_song_gb2312" w:cs="fang_song_gb2312"/>
          <w:kern w:val="0"/>
          <w:sz w:val="27"/>
          <w:szCs w:val="27"/>
        </w:rPr>
        <w:t xml:space="preserve">  </w:t>
      </w: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二</w:t>
      </w:r>
      <w:r>
        <w:rPr>
          <w:rFonts w:ascii="kai_ti_gb2312" w:hAnsi="kai_ti_gb2312" w:eastAsia="kai_ti_gb2312" w:cs="kai_ti_gb2312"/>
          <w:b/>
          <w:bCs/>
          <w:kern w:val="0"/>
          <w:sz w:val="27"/>
          <w:szCs w:val="27"/>
        </w:rPr>
        <w:t>）卫生健康支出（类）</w:t>
      </w:r>
    </w:p>
    <w:p w14:paraId="3FB0C2BC">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卫生健康支出类决算数为</w:t>
      </w:r>
      <w:r>
        <w:rPr>
          <w:rFonts w:ascii="times_new_roman" w:hAnsi="times_new_roman" w:eastAsia="times_new_roman" w:cs="times_new_roman"/>
          <w:kern w:val="0"/>
          <w:sz w:val="27"/>
          <w:szCs w:val="27"/>
          <w:u w:val="single"/>
        </w:rPr>
        <w:t xml:space="preserve"> 1,314.42</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480.61</w:t>
      </w:r>
      <w:r>
        <w:rPr>
          <w:rFonts w:ascii="fang_song_gb2312" w:hAnsi="fang_song_gb2312" w:eastAsia="fang_song_gb2312" w:cs="fang_song_gb2312"/>
          <w:kern w:val="0"/>
          <w:sz w:val="27"/>
          <w:szCs w:val="27"/>
        </w:rPr>
        <w:t>万元。其中：</w:t>
      </w:r>
    </w:p>
    <w:p w14:paraId="251E6BB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fang_song_gb2312" w:hAnsi="fang_song_gb2312" w:cs="fang_song_gb2312"/>
          <w:kern w:val="0"/>
          <w:sz w:val="27"/>
          <w:szCs w:val="27"/>
          <w:lang w:eastAsia="zh-CN"/>
        </w:rPr>
        <w:t>公立医院</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其他公立医院支出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10.59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275.59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2602.36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财政追加本年拨款年初无预算安排</w:t>
      </w:r>
      <w:r>
        <w:rPr>
          <w:rFonts w:hint="eastAsia" w:ascii="fang_song_gb2312" w:hAnsi="fang_song_gb2312" w:cs="fang_song_gb2312"/>
          <w:kern w:val="0"/>
          <w:sz w:val="27"/>
          <w:szCs w:val="27"/>
          <w:lang w:eastAsia="zh-CN"/>
        </w:rPr>
        <w:t>，且支出部分金额为上年结转和结余款项</w:t>
      </w:r>
      <w:r>
        <w:rPr>
          <w:rFonts w:ascii="fang_song_gb2312" w:hAnsi="fang_song_gb2312" w:eastAsia="fang_song_gb2312" w:cs="fang_song_gb2312"/>
          <w:kern w:val="0"/>
          <w:sz w:val="27"/>
          <w:szCs w:val="27"/>
        </w:rPr>
        <w:t>。</w:t>
      </w:r>
    </w:p>
    <w:p w14:paraId="300A2F8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2．</w:t>
      </w:r>
      <w:r>
        <w:rPr>
          <w:rFonts w:hint="eastAsia" w:ascii="fang_song_gb2312" w:hAnsi="fang_song_gb2312" w:cs="fang_song_gb2312"/>
          <w:kern w:val="0"/>
          <w:sz w:val="27"/>
          <w:szCs w:val="27"/>
          <w:lang w:eastAsia="zh-CN"/>
        </w:rPr>
        <w:t>公共卫生</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疾病预防控制机构</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669.98</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712.85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101.84</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超出部分为财政追加本年拨款</w:t>
      </w:r>
      <w:r>
        <w:rPr>
          <w:rFonts w:ascii="fang_song_gb2312" w:hAnsi="fang_song_gb2312" w:eastAsia="fang_song_gb2312" w:cs="fang_song_gb2312"/>
          <w:kern w:val="0"/>
          <w:sz w:val="27"/>
          <w:szCs w:val="27"/>
        </w:rPr>
        <w:t>。</w:t>
      </w:r>
    </w:p>
    <w:p w14:paraId="347A07FD">
      <w:pPr>
        <w:widowControl/>
        <w:spacing w:before="240" w:after="240"/>
        <w:ind w:firstLine="481"/>
        <w:rPr>
          <w:rFonts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3．</w:t>
      </w:r>
      <w:r>
        <w:rPr>
          <w:rFonts w:hint="eastAsia" w:ascii="fang_song_gb2312" w:hAnsi="fang_song_gb2312" w:cs="fang_song_gb2312"/>
          <w:kern w:val="0"/>
          <w:sz w:val="27"/>
          <w:szCs w:val="27"/>
          <w:lang w:eastAsia="zh-CN"/>
        </w:rPr>
        <w:t>公共卫生</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重大公共卫生服务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34.88</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90.06</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258.2</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超出部分为财政追加本年拨款</w:t>
      </w:r>
      <w:r>
        <w:rPr>
          <w:rFonts w:ascii="fang_song_gb2312" w:hAnsi="fang_song_gb2312" w:eastAsia="fang_song_gb2312" w:cs="fang_song_gb2312"/>
          <w:kern w:val="0"/>
          <w:sz w:val="27"/>
          <w:szCs w:val="27"/>
        </w:rPr>
        <w:t>。</w:t>
      </w:r>
    </w:p>
    <w:p w14:paraId="65D420F6">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4</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公共卫生</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突发公共卫生事件应急处理</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101.3</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财政追加本年拨款年初无预算安排</w:t>
      </w:r>
      <w:r>
        <w:rPr>
          <w:rFonts w:ascii="fang_song_gb2312" w:hAnsi="fang_song_gb2312" w:eastAsia="fang_song_gb2312" w:cs="fang_song_gb2312"/>
          <w:kern w:val="0"/>
          <w:sz w:val="27"/>
          <w:szCs w:val="27"/>
        </w:rPr>
        <w:t>。</w:t>
      </w:r>
    </w:p>
    <w:p w14:paraId="4C432703">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5</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公共卫生</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其他公共卫生服务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64.5</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64.5</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cs="fang_song_gb2312"/>
          <w:kern w:val="0"/>
          <w:sz w:val="27"/>
          <w:szCs w:val="27"/>
          <w:lang w:eastAsia="zh-CN"/>
        </w:rPr>
        <w:t>无差异</w:t>
      </w:r>
      <w:r>
        <w:rPr>
          <w:rFonts w:ascii="fang_song_gb2312" w:hAnsi="fang_song_gb2312" w:eastAsia="fang_song_gb2312" w:cs="fang_song_gb2312"/>
          <w:kern w:val="0"/>
          <w:sz w:val="27"/>
          <w:szCs w:val="27"/>
        </w:rPr>
        <w:t>。</w:t>
      </w:r>
    </w:p>
    <w:p w14:paraId="0C9FC8BF">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6</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计划生育事务</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计划生育事务</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10</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财政追加本年拨款年初无预算安排</w:t>
      </w:r>
      <w:r>
        <w:rPr>
          <w:rFonts w:ascii="fang_song_gb2312" w:hAnsi="fang_song_gb2312" w:eastAsia="fang_song_gb2312" w:cs="fang_song_gb2312"/>
          <w:kern w:val="0"/>
          <w:sz w:val="27"/>
          <w:szCs w:val="27"/>
        </w:rPr>
        <w:t>。</w:t>
      </w:r>
    </w:p>
    <w:p w14:paraId="1827C0A9">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7</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行政事业单位医疗</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事业单位医疗</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37.29</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41.58</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111.5</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年度职工增资财政追加本年事业单位医疗保险拨款。</w:t>
      </w:r>
      <w:r>
        <w:rPr>
          <w:rFonts w:ascii="fang_song_gb2312" w:hAnsi="fang_song_gb2312" w:eastAsia="fang_song_gb2312" w:cs="fang_song_gb2312"/>
          <w:kern w:val="0"/>
          <w:sz w:val="27"/>
          <w:szCs w:val="27"/>
        </w:rPr>
        <w:t>。</w:t>
      </w:r>
    </w:p>
    <w:p w14:paraId="77ABD5C8">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8</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行政事业单位医疗</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公务员医疗补助</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16.57</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18.54</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111.89</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年度职工增资财政追加本年公务员医疗保险拨款。</w:t>
      </w:r>
    </w:p>
    <w:p w14:paraId="57F3FC8B">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w:t>
      </w:r>
      <w:r>
        <w:rPr>
          <w:rFonts w:hint="eastAsia" w:ascii="kai_ti_gb2312" w:hAnsi="kai_ti_gb2312" w:cs="kai_ti_gb2312"/>
          <w:b/>
          <w:bCs/>
          <w:kern w:val="0"/>
          <w:sz w:val="27"/>
          <w:szCs w:val="27"/>
          <w:lang w:eastAsia="zh-CN"/>
        </w:rPr>
        <w:t>三</w:t>
      </w:r>
      <w:r>
        <w:rPr>
          <w:rFonts w:ascii="kai_ti_gb2312" w:hAnsi="kai_ti_gb2312" w:eastAsia="kai_ti_gb2312" w:cs="kai_ti_gb2312"/>
          <w:b/>
          <w:bCs/>
          <w:kern w:val="0"/>
          <w:sz w:val="27"/>
          <w:szCs w:val="27"/>
        </w:rPr>
        <w:t>）住房保障支出（类）</w:t>
      </w:r>
    </w:p>
    <w:p w14:paraId="4813B92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住房保障支出类决算数为</w:t>
      </w:r>
      <w:r>
        <w:rPr>
          <w:rFonts w:ascii="times_new_roman" w:hAnsi="times_new_roman" w:eastAsia="times_new_roman" w:cs="times_new_roman"/>
          <w:kern w:val="0"/>
          <w:sz w:val="27"/>
          <w:szCs w:val="27"/>
          <w:u w:val="single"/>
        </w:rPr>
        <w:t xml:space="preserve"> 76.69</w:t>
      </w:r>
      <w:r>
        <w:rPr>
          <w:rFonts w:ascii="fang_song_gb2312" w:hAnsi="fang_song_gb2312" w:eastAsia="fang_song_gb2312" w:cs="fang_song_gb2312"/>
          <w:kern w:val="0"/>
          <w:sz w:val="27"/>
          <w:szCs w:val="27"/>
        </w:rPr>
        <w:t>万元，与年初预算相比增加</w:t>
      </w:r>
      <w:r>
        <w:rPr>
          <w:rFonts w:ascii="times_new_roman" w:hAnsi="times_new_roman" w:eastAsia="times_new_roman" w:cs="times_new_roman"/>
          <w:kern w:val="0"/>
          <w:sz w:val="27"/>
          <w:szCs w:val="27"/>
          <w:u w:val="single"/>
        </w:rPr>
        <w:t xml:space="preserve"> 4.76</w:t>
      </w:r>
      <w:r>
        <w:rPr>
          <w:rFonts w:ascii="fang_song_gb2312" w:hAnsi="fang_song_gb2312" w:eastAsia="fang_song_gb2312" w:cs="fang_song_gb2312"/>
          <w:kern w:val="0"/>
          <w:sz w:val="27"/>
          <w:szCs w:val="27"/>
        </w:rPr>
        <w:t>万元。其中：</w:t>
      </w:r>
    </w:p>
    <w:p w14:paraId="0012614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住房改革支出（款）住房公积金（项）。年初预算</w:t>
      </w:r>
      <w:r>
        <w:rPr>
          <w:rFonts w:hint="eastAsia" w:ascii="times_new_roman" w:hAnsi="times_new_roman" w:cs="times_new_roman"/>
          <w:kern w:val="0"/>
          <w:sz w:val="27"/>
          <w:szCs w:val="27"/>
          <w:u w:val="single"/>
          <w:lang w:val="en-US" w:eastAsia="zh-CN"/>
        </w:rPr>
        <w:t>71.93</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76.69</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103.56</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年度职工增资财政追加本年住房公积金拨款。</w:t>
      </w:r>
    </w:p>
    <w:p w14:paraId="37B70CD6">
      <w:pPr>
        <w:widowControl/>
        <w:spacing w:before="240" w:after="240"/>
        <w:ind w:firstLine="540" w:firstLineChars="200"/>
        <w:jc w:val="left"/>
        <w:rPr>
          <w:rFonts w:hint="eastAsia" w:ascii="kai_ti_gb2312" w:hAnsi="kai_ti_gb2312" w:eastAsia="kai_ti_gb2312" w:cs="kai_ti_gb2312"/>
          <w:b/>
          <w:bCs/>
          <w:kern w:val="0"/>
          <w:sz w:val="27"/>
          <w:szCs w:val="27"/>
          <w:lang w:val="en-US" w:eastAsia="zh-CN"/>
        </w:rPr>
      </w:pPr>
      <w:r>
        <w:rPr>
          <w:rFonts w:hint="eastAsia" w:ascii="kai_ti_gb2312" w:hAnsi="kai_ti_gb2312" w:eastAsia="kai_ti_gb2312" w:cs="kai_ti_gb2312"/>
          <w:b/>
          <w:bCs/>
          <w:kern w:val="0"/>
          <w:sz w:val="27"/>
          <w:szCs w:val="27"/>
          <w:lang w:val="en-US" w:eastAsia="zh-CN"/>
        </w:rPr>
        <w:t>（四）其他支出类</w:t>
      </w:r>
    </w:p>
    <w:p w14:paraId="37DE1329">
      <w:pPr>
        <w:widowControl/>
        <w:numPr>
          <w:ilvl w:val="0"/>
          <w:numId w:val="0"/>
        </w:numPr>
        <w:spacing w:before="240" w:after="240"/>
        <w:rPr>
          <w:rFonts w:hint="default" w:ascii="fang_song_gb2312" w:hAnsi="fang_song_gb2312" w:cs="fang_song_gb2312"/>
          <w:kern w:val="0"/>
          <w:sz w:val="27"/>
          <w:szCs w:val="27"/>
          <w:lang w:val="en-US" w:eastAsia="zh-CN"/>
        </w:rPr>
      </w:pPr>
      <w:r>
        <w:rPr>
          <w:rFonts w:hint="eastAsia" w:ascii="fang_song_gb2312" w:hAnsi="fang_song_gb2312" w:cs="fang_song_gb2312"/>
          <w:kern w:val="0"/>
          <w:sz w:val="27"/>
          <w:szCs w:val="27"/>
          <w:lang w:val="en-US" w:eastAsia="zh-CN"/>
        </w:rPr>
        <w:t xml:space="preserve">    其他类支出类决算数为</w:t>
      </w:r>
      <w:r>
        <w:rPr>
          <w:rFonts w:hint="eastAsia" w:ascii="fang_song_gb2312" w:hAnsi="fang_song_gb2312" w:cs="fang_song_gb2312"/>
          <w:kern w:val="0"/>
          <w:sz w:val="27"/>
          <w:szCs w:val="27"/>
          <w:u w:val="single"/>
          <w:lang w:val="en-US" w:eastAsia="zh-CN"/>
        </w:rPr>
        <w:t>377</w:t>
      </w:r>
      <w:r>
        <w:rPr>
          <w:rFonts w:hint="eastAsia" w:ascii="fang_song_gb2312" w:hAnsi="fang_song_gb2312" w:cs="fang_song_gb2312"/>
          <w:kern w:val="0"/>
          <w:sz w:val="27"/>
          <w:szCs w:val="27"/>
          <w:lang w:val="en-US" w:eastAsia="zh-CN"/>
        </w:rPr>
        <w:t>万元，与年初预算数相比增加</w:t>
      </w:r>
      <w:r>
        <w:rPr>
          <w:rFonts w:hint="eastAsia" w:ascii="fang_song_gb2312" w:hAnsi="fang_song_gb2312" w:cs="fang_song_gb2312"/>
          <w:kern w:val="0"/>
          <w:sz w:val="27"/>
          <w:szCs w:val="27"/>
          <w:u w:val="single"/>
          <w:lang w:val="en-US" w:eastAsia="zh-CN"/>
        </w:rPr>
        <w:t>377</w:t>
      </w:r>
      <w:r>
        <w:rPr>
          <w:rFonts w:hint="eastAsia" w:ascii="fang_song_gb2312" w:hAnsi="fang_song_gb2312" w:cs="fang_song_gb2312"/>
          <w:kern w:val="0"/>
          <w:sz w:val="27"/>
          <w:szCs w:val="27"/>
          <w:lang w:val="en-US" w:eastAsia="zh-CN"/>
        </w:rPr>
        <w:t>万元。其中：</w:t>
      </w:r>
    </w:p>
    <w:p w14:paraId="5261E370">
      <w:pPr>
        <w:widowControl/>
        <w:spacing w:before="240" w:after="240"/>
        <w:ind w:firstLine="481"/>
        <w:rPr>
          <w:rFonts w:ascii="fang_song_gb2312" w:hAnsi="fang_song_gb2312" w:eastAsia="fang_song_gb2312" w:cs="fang_song_gb2312"/>
          <w:kern w:val="0"/>
          <w:sz w:val="27"/>
          <w:szCs w:val="27"/>
        </w:rPr>
      </w:pPr>
      <w:r>
        <w:rPr>
          <w:rFonts w:hint="eastAsia" w:ascii="times_new_roman" w:hAnsi="times_new_roman" w:cs="times_new_roman"/>
          <w:kern w:val="0"/>
          <w:sz w:val="27"/>
          <w:szCs w:val="27"/>
          <w:lang w:val="en-US" w:eastAsia="zh-CN"/>
        </w:rPr>
        <w:t>1</w:t>
      </w:r>
      <w:r>
        <w:rPr>
          <w:rFonts w:ascii="times_new_roman" w:hAnsi="times_new_roman" w:eastAsia="times_new_roman" w:cs="times_new_roman"/>
          <w:kern w:val="0"/>
          <w:sz w:val="27"/>
          <w:szCs w:val="27"/>
        </w:rPr>
        <w:t>．</w:t>
      </w:r>
      <w:r>
        <w:rPr>
          <w:rFonts w:hint="eastAsia" w:ascii="fang_song_gb2312" w:hAnsi="fang_song_gb2312" w:cs="fang_song_gb2312"/>
          <w:kern w:val="0"/>
          <w:sz w:val="27"/>
          <w:szCs w:val="27"/>
          <w:lang w:eastAsia="zh-CN"/>
        </w:rPr>
        <w:t>其他支出</w:t>
      </w:r>
      <w:r>
        <w:rPr>
          <w:rFonts w:ascii="fang_song_gb2312" w:hAnsi="fang_song_gb2312" w:eastAsia="fang_song_gb2312" w:cs="fang_song_gb2312"/>
          <w:kern w:val="0"/>
          <w:sz w:val="27"/>
          <w:szCs w:val="27"/>
        </w:rPr>
        <w:t>（款）</w:t>
      </w:r>
      <w:r>
        <w:rPr>
          <w:rFonts w:hint="eastAsia" w:ascii="fang_song_gb2312" w:hAnsi="fang_song_gb2312" w:cs="fang_song_gb2312"/>
          <w:kern w:val="0"/>
          <w:sz w:val="27"/>
          <w:szCs w:val="27"/>
          <w:lang w:eastAsia="zh-CN"/>
        </w:rPr>
        <w:t>其他支出</w:t>
      </w:r>
      <w:r>
        <w:rPr>
          <w:rFonts w:ascii="fang_song_gb2312" w:hAnsi="fang_song_gb2312" w:eastAsia="fang_song_gb2312" w:cs="fang_song_gb2312"/>
          <w:kern w:val="0"/>
          <w:sz w:val="27"/>
          <w:szCs w:val="27"/>
        </w:rPr>
        <w:t>（项）。年初预算</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万元，支出决算</w:t>
      </w:r>
      <w:r>
        <w:rPr>
          <w:rFonts w:hint="eastAsia" w:ascii="times_new_roman" w:hAnsi="times_new_roman" w:cs="times_new_roman"/>
          <w:kern w:val="0"/>
          <w:sz w:val="27"/>
          <w:szCs w:val="27"/>
          <w:u w:val="single"/>
          <w:lang w:val="en-US" w:eastAsia="zh-CN"/>
        </w:rPr>
        <w:t>377</w:t>
      </w:r>
      <w:r>
        <w:rPr>
          <w:rFonts w:ascii="fang_song_gb2312" w:hAnsi="fang_song_gb2312" w:eastAsia="fang_song_gb2312" w:cs="fang_song_gb2312"/>
          <w:kern w:val="0"/>
          <w:sz w:val="27"/>
          <w:szCs w:val="27"/>
        </w:rPr>
        <w:t>万元，完成年初预算的</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%。决算数与年初预算数的差异原因：</w:t>
      </w:r>
      <w:r>
        <w:rPr>
          <w:rFonts w:hint="eastAsia" w:ascii="fang_song_gb2312" w:hAnsi="fang_song_gb2312" w:eastAsia="fang_song_gb2312" w:cs="fang_song_gb2312"/>
          <w:kern w:val="0"/>
          <w:sz w:val="27"/>
          <w:szCs w:val="27"/>
        </w:rPr>
        <w:t>财政追加本年拨款年初无预算安排</w:t>
      </w:r>
      <w:r>
        <w:rPr>
          <w:rFonts w:ascii="fang_song_gb2312" w:hAnsi="fang_song_gb2312" w:eastAsia="fang_song_gb2312" w:cs="fang_song_gb2312"/>
          <w:kern w:val="0"/>
          <w:sz w:val="27"/>
          <w:szCs w:val="27"/>
        </w:rPr>
        <w:t>。</w:t>
      </w:r>
    </w:p>
    <w:p w14:paraId="6622F353">
      <w:pPr>
        <w:widowControl/>
        <w:spacing w:before="240" w:after="240"/>
        <w:ind w:firstLine="540"/>
        <w:rPr>
          <w:rFonts w:hint="default" w:ascii="fang_song_gb2312" w:hAnsi="fang_song_gb2312" w:cs="fang_song_gb2312"/>
          <w:kern w:val="0"/>
          <w:sz w:val="27"/>
          <w:szCs w:val="27"/>
          <w:lang w:val="en-US" w:eastAsia="zh-CN"/>
        </w:rPr>
      </w:pPr>
    </w:p>
    <w:p w14:paraId="065AFA3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14:paraId="68FFD10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r>
        <w:rPr>
          <w:rFonts w:ascii="fang_song_gb2312" w:hAnsi="fang_song_gb2312" w:eastAsia="fang_song_gb2312" w:cs="fang_song_gb2312"/>
          <w:kern w:val="0"/>
          <w:sz w:val="27"/>
          <w:szCs w:val="27"/>
        </w:rPr>
        <w:t>    内蒙古自治区巴彦淖尔市第二医院 2023年度一般公共预算财政拨款基本支出决算</w:t>
      </w:r>
      <w:r>
        <w:rPr>
          <w:rFonts w:ascii="times_new_roman" w:hAnsi="times_new_roman" w:eastAsia="times_new_roman" w:cs="times_new_roman"/>
          <w:kern w:val="0"/>
          <w:sz w:val="27"/>
          <w:szCs w:val="27"/>
          <w:u w:val="single"/>
        </w:rPr>
        <w:t xml:space="preserve"> 1,023.00</w:t>
      </w:r>
      <w:r>
        <w:rPr>
          <w:rFonts w:ascii="fang_song_gb2312" w:hAnsi="fang_song_gb2312" w:eastAsia="fang_song_gb2312" w:cs="fang_song_gb2312"/>
          <w:kern w:val="0"/>
          <w:sz w:val="27"/>
          <w:szCs w:val="27"/>
        </w:rPr>
        <w:t>万元，其中：</w:t>
      </w:r>
    </w:p>
    <w:p w14:paraId="733F24EF">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2" w:firstLineChars="200"/>
        <w:textAlignment w:val="auto"/>
        <w:rPr>
          <w:rFonts w:ascii="fang_song_gb2312" w:hAnsi="fang_song_gb2312" w:eastAsia="fang_song_gb2312" w:cs="fang_song_gb2312"/>
          <w:kern w:val="0"/>
          <w:sz w:val="27"/>
          <w:szCs w:val="27"/>
        </w:rPr>
      </w:pPr>
      <w:r>
        <w:rPr>
          <w:rFonts w:hint="eastAsia" w:ascii="fang_song_gb2312" w:hAnsi="fang_song_gb2312" w:cs="fang_song_gb2312"/>
          <w:b/>
          <w:bCs/>
          <w:kern w:val="0"/>
          <w:sz w:val="27"/>
          <w:szCs w:val="27"/>
          <w:lang w:eastAsia="zh-CN"/>
        </w:rPr>
        <w:t>（一）</w:t>
      </w:r>
      <w:r>
        <w:rPr>
          <w:rFonts w:ascii="fang_song_gb2312" w:hAnsi="fang_song_gb2312" w:eastAsia="fang_song_gb2312" w:cs="fang_song_gb2312"/>
          <w:b/>
          <w:bCs/>
          <w:kern w:val="0"/>
          <w:sz w:val="27"/>
          <w:szCs w:val="27"/>
        </w:rPr>
        <w:t>人员经费</w:t>
      </w:r>
      <w:r>
        <w:rPr>
          <w:rFonts w:ascii="times_new_roman" w:hAnsi="times_new_roman" w:eastAsia="times_new_roman" w:cs="times_new_roman"/>
          <w:kern w:val="0"/>
          <w:sz w:val="27"/>
          <w:szCs w:val="27"/>
          <w:u w:val="single"/>
        </w:rPr>
        <w:t xml:space="preserve"> 964.88</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。主要包括：基本工资、津贴补贴、绩效工资、</w:t>
      </w:r>
      <w:r>
        <w:rPr>
          <w:rFonts w:hint="eastAsia" w:ascii="fang_song_gb2312" w:hAnsi="fang_song_gb2312" w:eastAsia="fang_song_gb2312" w:cs="fang_song_gb2312"/>
          <w:kern w:val="0"/>
          <w:sz w:val="27"/>
          <w:szCs w:val="27"/>
        </w:rPr>
        <w:t>社会保障缴费、住房公积金</w:t>
      </w:r>
      <w:r>
        <w:rPr>
          <w:rFonts w:hint="eastAsia" w:ascii="fang_song_gb2312" w:hAnsi="fang_song_gb2312" w:cs="fang_song_gb2312"/>
          <w:kern w:val="0"/>
          <w:sz w:val="27"/>
          <w:szCs w:val="27"/>
          <w:lang w:eastAsia="zh-CN"/>
        </w:rPr>
        <w:t>、</w:t>
      </w:r>
      <w:r>
        <w:rPr>
          <w:rFonts w:ascii="fang_song_gb2312" w:hAnsi="fang_song_gb2312" w:eastAsia="fang_song_gb2312" w:cs="fang_song_gb2312"/>
          <w:kern w:val="0"/>
          <w:sz w:val="27"/>
          <w:szCs w:val="27"/>
        </w:rPr>
        <w:t>其他工资福利支出、退休费。</w:t>
      </w:r>
    </w:p>
    <w:p w14:paraId="709C734B">
      <w:pPr>
        <w:keepNext w:val="0"/>
        <w:keepLines w:val="0"/>
        <w:pageBreakBefore w:val="0"/>
        <w:widowControl/>
        <w:numPr>
          <w:ilvl w:val="0"/>
          <w:numId w:val="0"/>
        </w:numPr>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（二）公用经费</w:t>
      </w:r>
      <w:r>
        <w:rPr>
          <w:rFonts w:ascii="times_new_roman" w:hAnsi="times_new_roman" w:eastAsia="times_new_roman" w:cs="times_new_roman"/>
          <w:kern w:val="0"/>
          <w:sz w:val="27"/>
          <w:szCs w:val="27"/>
          <w:u w:val="single"/>
        </w:rPr>
        <w:t xml:space="preserve"> 58.12</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。主要包括：办公费、水费、电费、邮电费、物业管理费、差旅费、维修（护）费、工会经费、公务用车运行维护费、</w:t>
      </w:r>
      <w:r>
        <w:rPr>
          <w:rFonts w:hint="eastAsia" w:ascii="fang_song_gb2312" w:hAnsi="fang_song_gb2312" w:cs="fang_song_gb2312"/>
          <w:kern w:val="0"/>
          <w:sz w:val="27"/>
          <w:szCs w:val="27"/>
          <w:lang w:eastAsia="zh-CN"/>
        </w:rPr>
        <w:t>办公</w:t>
      </w:r>
      <w:r>
        <w:rPr>
          <w:rFonts w:ascii="fang_song_gb2312" w:hAnsi="fang_song_gb2312" w:eastAsia="fang_song_gb2312" w:cs="fang_song_gb2312"/>
          <w:kern w:val="0"/>
          <w:sz w:val="27"/>
          <w:szCs w:val="27"/>
        </w:rPr>
        <w:t>设备购置。</w:t>
      </w:r>
    </w:p>
    <w:p w14:paraId="227C739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14:paraId="28B353F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年度一般公共预算财政拨款项目支出决算</w:t>
      </w:r>
      <w:r>
        <w:rPr>
          <w:rFonts w:ascii="times_new_roman" w:hAnsi="times_new_roman" w:eastAsia="times_new_roman" w:cs="times_new_roman"/>
          <w:kern w:val="0"/>
          <w:sz w:val="27"/>
          <w:szCs w:val="27"/>
          <w:u w:val="single"/>
        </w:rPr>
        <w:t xml:space="preserve"> 918.45</w:t>
      </w:r>
      <w:r>
        <w:rPr>
          <w:rFonts w:ascii="fang_song_gb2312" w:hAnsi="fang_song_gb2312" w:eastAsia="fang_song_gb2312" w:cs="fang_song_gb2312"/>
          <w:kern w:val="0"/>
          <w:sz w:val="27"/>
          <w:szCs w:val="27"/>
        </w:rPr>
        <w:t>万元，其中：</w:t>
      </w:r>
    </w:p>
    <w:p w14:paraId="2824E85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（一）工资福利支出</w:t>
      </w:r>
      <w:r>
        <w:rPr>
          <w:rFonts w:ascii="times_new_roman" w:hAnsi="times_new_roman" w:eastAsia="times_new_roman" w:cs="times_new_roman"/>
          <w:kern w:val="0"/>
          <w:sz w:val="27"/>
          <w:szCs w:val="27"/>
          <w:u w:val="single"/>
        </w:rPr>
        <w:t xml:space="preserve"> 34.42</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。主要包括：其他工资福利支出。</w:t>
      </w:r>
    </w:p>
    <w:p w14:paraId="2B1BB414">
      <w:pPr>
        <w:widowControl/>
        <w:spacing w:before="240" w:after="240"/>
        <w:ind w:firstLine="481"/>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（二）商品和服务支出</w:t>
      </w:r>
      <w:r>
        <w:rPr>
          <w:rFonts w:ascii="times_new_roman" w:hAnsi="times_new_roman" w:eastAsia="times_new_roman" w:cs="times_new_roman"/>
          <w:kern w:val="0"/>
          <w:sz w:val="27"/>
          <w:szCs w:val="27"/>
          <w:u w:val="single"/>
        </w:rPr>
        <w:t xml:space="preserve"> 417.29</w:t>
      </w:r>
      <w:r>
        <w:rPr>
          <w:rFonts w:ascii="fang_song_gb2312" w:hAnsi="fang_song_gb2312" w:eastAsia="fang_song_gb2312" w:cs="fang_song_gb2312"/>
          <w:b/>
          <w:bCs/>
          <w:kern w:val="0"/>
          <w:sz w:val="27"/>
          <w:szCs w:val="27"/>
        </w:rPr>
        <w:t>万元</w:t>
      </w:r>
      <w:r>
        <w:rPr>
          <w:rFonts w:ascii="fang_song_gb2312" w:hAnsi="fang_song_gb2312" w:eastAsia="fang_song_gb2312" w:cs="fang_song_gb2312"/>
          <w:kern w:val="0"/>
          <w:sz w:val="27"/>
          <w:szCs w:val="27"/>
        </w:rPr>
        <w:t>。主要包括：取暖费、维修（护）费、专用材料费、劳务费、其他商品和服务支出。</w:t>
      </w:r>
    </w:p>
    <w:p w14:paraId="73F2BD37">
      <w:pPr>
        <w:widowControl/>
        <w:spacing w:before="240" w:after="240"/>
        <w:ind w:firstLine="481"/>
        <w:rPr>
          <w:rFonts w:ascii="Times New Roman" w:hAnsi="Times New Roman" w:eastAsia="Times New Roman" w:cs="Times New Roman"/>
          <w:kern w:val="0"/>
          <w:sz w:val="24"/>
        </w:rPr>
      </w:pPr>
      <w:r>
        <w:rPr>
          <w:rFonts w:hint="eastAsia" w:ascii="fang_song_gb2312" w:hAnsi="fang_song_gb2312" w:eastAsia="fang_song_gb2312" w:cs="fang_song_gb2312"/>
          <w:b/>
          <w:bCs/>
          <w:kern w:val="0"/>
          <w:sz w:val="27"/>
          <w:szCs w:val="27"/>
          <w:lang w:eastAsia="zh-CN"/>
        </w:rPr>
        <w:t>（三）资本性支出</w:t>
      </w:r>
      <w:r>
        <w:rPr>
          <w:rFonts w:hint="eastAsia" w:ascii="times_new_roman" w:hAnsi="times_new_roman" w:eastAsia="times_new_roman" w:cs="times_new_roman"/>
          <w:kern w:val="0"/>
          <w:sz w:val="27"/>
          <w:szCs w:val="27"/>
          <w:u w:val="single"/>
          <w:lang w:val="en-US" w:eastAsia="zh-CN"/>
        </w:rPr>
        <w:t>466.73</w:t>
      </w:r>
      <w:r>
        <w:rPr>
          <w:rFonts w:hint="eastAsia" w:ascii="fang_song_gb2312" w:hAnsi="fang_song_gb2312" w:eastAsia="fang_song_gb2312" w:cs="fang_song_gb2312"/>
          <w:b/>
          <w:bCs/>
          <w:kern w:val="0"/>
          <w:sz w:val="27"/>
          <w:szCs w:val="27"/>
          <w:lang w:val="en-US" w:eastAsia="zh-CN"/>
        </w:rPr>
        <w:t>万元</w:t>
      </w:r>
      <w:r>
        <w:rPr>
          <w:rFonts w:hint="eastAsia" w:ascii="fang_song_gb2312" w:hAnsi="fang_song_gb2312" w:cs="fang_song_gb2312"/>
          <w:kern w:val="0"/>
          <w:sz w:val="27"/>
          <w:szCs w:val="27"/>
          <w:lang w:val="en-US" w:eastAsia="zh-CN"/>
        </w:rPr>
        <w:t>。主要包括：专用设备购置、其他交通工具购置。</w:t>
      </w:r>
    </w:p>
    <w:p w14:paraId="5FA16B7D">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14:paraId="15CD13F5">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14:paraId="62A4B6FB">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年度财政拨款“三公”经费全年预算</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%。其中：因公出国（境）费全年预算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%；公务用车购置及运行维护费全年预算</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%；公务接待费全年预算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万元，完成预算的</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%。2023年度一般公共预算财政拨款“三公”经费支出决算与预算</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差异。</w:t>
      </w:r>
    </w:p>
    <w:p w14:paraId="59F1CF92">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14:paraId="3724AFBD">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年度财政拨款“三公”经费支出</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100.00</w:t>
      </w:r>
      <w:r>
        <w:rPr>
          <w:rFonts w:ascii="fang_song_gb2312" w:hAnsi="fang_song_gb2312" w:eastAsia="fang_song_gb2312" w:cs="fang_song_gb2312"/>
          <w:kern w:val="0"/>
          <w:sz w:val="27"/>
          <w:szCs w:val="27"/>
        </w:rPr>
        <w:t>%；公务接待费支出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%。其中：</w:t>
      </w:r>
    </w:p>
    <w:p w14:paraId="2C39DCA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ascii="fang_song_gb2312" w:hAnsi="fang_song_gb2312" w:eastAsia="fang_song_gb2312" w:cs="fang_song_gb2312"/>
          <w:kern w:val="0"/>
          <w:sz w:val="27"/>
          <w:szCs w:val="27"/>
        </w:rPr>
        <w:t>因公出国（境）费支出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万元，全年出国（境）团组</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个，累计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无变动</w:t>
      </w:r>
      <w:r>
        <w:rPr>
          <w:rFonts w:ascii="fang_song_gb2312" w:hAnsi="fang_song_gb2312" w:eastAsia="fang_song_gb2312" w:cs="fang_song_gb2312"/>
          <w:kern w:val="0"/>
          <w:sz w:val="27"/>
          <w:szCs w:val="27"/>
        </w:rPr>
        <w:t>。</w:t>
      </w:r>
    </w:p>
    <w:p w14:paraId="77EDFDFF">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2.</w:t>
      </w:r>
      <w:r>
        <w:rPr>
          <w:rFonts w:ascii="fang_song_gb2312" w:hAnsi="fang_song_gb2312" w:eastAsia="fang_song_gb2312" w:cs="fang_song_gb2312"/>
          <w:kern w:val="0"/>
          <w:sz w:val="27"/>
          <w:szCs w:val="27"/>
        </w:rPr>
        <w:t>公务用车购置及运行维护费支出</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万元。其中：</w:t>
      </w:r>
    </w:p>
    <w:p w14:paraId="29735AC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（1）公务用车购置支出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万元。本年度使用财政拨款购置公务用车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辆，开支内容：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p w14:paraId="66A63CD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（2）公务用车运行维护费支出</w:t>
      </w:r>
      <w:r>
        <w:rPr>
          <w:rFonts w:ascii="times_new_roman" w:hAnsi="times_new_roman" w:eastAsia="times_new_roman" w:cs="times_new_roman"/>
          <w:kern w:val="0"/>
          <w:sz w:val="27"/>
          <w:szCs w:val="27"/>
          <w:u w:val="single"/>
        </w:rPr>
        <w:t xml:space="preserve"> 1.50</w:t>
      </w:r>
      <w:r>
        <w:rPr>
          <w:rFonts w:ascii="fang_song_gb2312" w:hAnsi="fang_song_gb2312" w:eastAsia="fang_song_gb2312" w:cs="fang_song_gb2312"/>
          <w:kern w:val="0"/>
          <w:sz w:val="27"/>
          <w:szCs w:val="27"/>
        </w:rPr>
        <w:t>万元。公务用车运行维护费主要用于按规定保留的公务用车的燃料费、维修费、过桥过路费、保险费、安全奖励费用等支出。截至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日，使用财政拨款开支的公务用车保有量为</w:t>
      </w:r>
      <w:r>
        <w:rPr>
          <w:rFonts w:ascii="times_new_roman" w:hAnsi="times_new_roman" w:eastAsia="times_new_roman" w:cs="times_new_roman"/>
          <w:kern w:val="0"/>
          <w:sz w:val="27"/>
          <w:szCs w:val="27"/>
          <w:u w:val="single"/>
        </w:rPr>
        <w:t xml:space="preserve">4 </w:t>
      </w:r>
      <w:r>
        <w:rPr>
          <w:rFonts w:ascii="fang_song_gb2312" w:hAnsi="fang_song_gb2312" w:eastAsia="fang_song_gb2312" w:cs="fang_song_gb2312"/>
          <w:kern w:val="0"/>
          <w:sz w:val="27"/>
          <w:szCs w:val="27"/>
        </w:rPr>
        <w:t>辆。与上年决算相比，增加</w:t>
      </w:r>
      <w:r>
        <w:rPr>
          <w:rFonts w:ascii="fang_song_gb2312" w:hAnsi="fang_song_gb2312" w:eastAsia="fang_song_gb2312" w:cs="fang_song_gb2312"/>
          <w:kern w:val="0"/>
          <w:sz w:val="27"/>
          <w:szCs w:val="27"/>
          <w:u w:val="single"/>
        </w:rPr>
        <w:t xml:space="preserve"> </w:t>
      </w:r>
      <w:r>
        <w:rPr>
          <w:rFonts w:ascii="times_new_roman" w:hAnsi="times_new_roman" w:eastAsia="times_new_roman" w:cs="times_new_roman"/>
          <w:kern w:val="0"/>
          <w:sz w:val="27"/>
          <w:szCs w:val="27"/>
          <w:u w:val="single"/>
        </w:rPr>
        <w:t>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p w14:paraId="13467D3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3.公务接待费支出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万元。其中：国内公务接待支出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；国（境）外公务接待支出</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万元，接待</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批次，</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人次，开支内容：</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无</w:t>
      </w:r>
      <w:r>
        <w:rPr>
          <w:rFonts w:ascii="fang_song_gb2312" w:hAnsi="fang_song_gb2312" w:eastAsia="fang_song_gb2312" w:cs="fang_song_gb2312"/>
          <w:kern w:val="0"/>
          <w:sz w:val="27"/>
          <w:szCs w:val="27"/>
        </w:rPr>
        <w:t>。</w:t>
      </w:r>
    </w:p>
    <w:p w14:paraId="1B44145C">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14:paraId="045E3FF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年度政府性基金预算财政拨款支出决算</w:t>
      </w:r>
      <w:r>
        <w:rPr>
          <w:rFonts w:ascii="times_new_roman" w:hAnsi="times_new_roman" w:eastAsia="times_new_roman" w:cs="times_new_roman"/>
          <w:kern w:val="0"/>
          <w:sz w:val="27"/>
          <w:szCs w:val="27"/>
          <w:u w:val="single"/>
        </w:rPr>
        <w:t xml:space="preserve"> 2,015.66</w:t>
      </w:r>
      <w:r>
        <w:rPr>
          <w:rFonts w:ascii="fang_song_gb2312" w:hAnsi="fang_song_gb2312" w:eastAsia="fang_song_gb2312" w:cs="fang_song_gb2312"/>
          <w:kern w:val="0"/>
          <w:sz w:val="27"/>
          <w:szCs w:val="27"/>
        </w:rPr>
        <w:t>万元。与上年决算相比，减少</w:t>
      </w:r>
      <w:r>
        <w:rPr>
          <w:rFonts w:ascii="times_new_roman" w:hAnsi="times_new_roman" w:eastAsia="times_new_roman" w:cs="times_new_roman"/>
          <w:kern w:val="0"/>
          <w:sz w:val="27"/>
          <w:szCs w:val="27"/>
          <w:u w:val="single"/>
        </w:rPr>
        <w:t>7,968.68</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79.81</w:t>
      </w:r>
      <w:r>
        <w:rPr>
          <w:rFonts w:ascii="fang_song_gb2312" w:hAnsi="fang_song_gb2312" w:eastAsia="fang_song_gb2312" w:cs="fang_song_gb2312"/>
          <w:kern w:val="0"/>
          <w:sz w:val="27"/>
          <w:szCs w:val="27"/>
        </w:rPr>
        <w:t>%，变动原因：</w:t>
      </w:r>
      <w:r>
        <w:rPr>
          <w:rFonts w:hint="eastAsia" w:ascii="fang_song_gb2312" w:hAnsi="fang_song_gb2312" w:eastAsia="fang_song_gb2312" w:cs="fang_song_gb2312"/>
          <w:kern w:val="0"/>
          <w:sz w:val="27"/>
          <w:szCs w:val="27"/>
          <w:lang w:val="en-US" w:eastAsia="zh-CN"/>
        </w:rPr>
        <w:t>2023年巴彦淖尔市第二医院（市传染病医院）建设项目接近尾声，因此</w:t>
      </w:r>
      <w:r>
        <w:rPr>
          <w:rFonts w:hint="eastAsia" w:ascii="fang_song_gb2312" w:hAnsi="fang_song_gb2312" w:eastAsia="fang_song_gb2312" w:cs="fang_song_gb2312"/>
          <w:kern w:val="0"/>
          <w:sz w:val="27"/>
          <w:szCs w:val="27"/>
        </w:rPr>
        <w:t>政府性基金支出</w:t>
      </w:r>
      <w:r>
        <w:rPr>
          <w:rFonts w:hint="eastAsia" w:ascii="fang_song_gb2312" w:hAnsi="fang_song_gb2312" w:eastAsia="fang_song_gb2312" w:cs="fang_song_gb2312"/>
          <w:kern w:val="0"/>
          <w:sz w:val="27"/>
          <w:szCs w:val="27"/>
          <w:lang w:eastAsia="zh-CN"/>
        </w:rPr>
        <w:t>大幅度减少</w:t>
      </w:r>
      <w:r>
        <w:rPr>
          <w:rFonts w:ascii="fang_song_gb2312" w:hAnsi="fang_song_gb2312" w:eastAsia="fang_song_gb2312" w:cs="fang_song_gb2312"/>
          <w:kern w:val="0"/>
          <w:sz w:val="27"/>
          <w:szCs w:val="27"/>
        </w:rPr>
        <w:t>。其中：</w:t>
      </w:r>
    </w:p>
    <w:p w14:paraId="2F9E4A0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（一）</w:t>
      </w:r>
      <w:r>
        <w:rPr>
          <w:rFonts w:hint="eastAsia" w:ascii="fang_song_gb2312" w:hAnsi="fang_song_gb2312" w:eastAsia="fang_song_gb2312" w:cs="fang_song_gb2312"/>
          <w:kern w:val="0"/>
          <w:sz w:val="27"/>
          <w:szCs w:val="27"/>
        </w:rPr>
        <w:t>其他支出（类）其他政府性基金及对应专项债务收入安排的支出（款）其他地方自行试点项目收益专项债券收入安排的支出（项）支出2015.66万元，主要用于巴彦淖尔市第二医院新院区建设支出。</w:t>
      </w:r>
    </w:p>
    <w:p w14:paraId="07B14BD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14:paraId="15FB7B07">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xml:space="preserve">    </w:t>
      </w: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年度国有资本经营预算财政拨款支出决算</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万元。与上年决算相比，增加</w:t>
      </w:r>
      <w:r>
        <w:rPr>
          <w:rFonts w:ascii="times_new_roman" w:hAnsi="times_new_roman" w:eastAsia="times_new_roman" w:cs="times_new_roman"/>
          <w:kern w:val="0"/>
          <w:sz w:val="27"/>
          <w:szCs w:val="27"/>
          <w:u w:val="single"/>
        </w:rPr>
        <w:t xml:space="preserve"> 0.00</w:t>
      </w:r>
      <w:r>
        <w:rPr>
          <w:rFonts w:ascii="fang_song_gb2312" w:hAnsi="fang_song_gb2312" w:eastAsia="fang_song_gb2312" w:cs="fang_song_gb2312"/>
          <w:kern w:val="0"/>
          <w:sz w:val="27"/>
          <w:szCs w:val="27"/>
        </w:rPr>
        <w:t>万元，增长</w:t>
      </w:r>
      <w:r>
        <w:rPr>
          <w:rFonts w:ascii="times_new_roman" w:hAnsi="times_new_roman" w:eastAsia="times_new_roman" w:cs="times_new_roman"/>
          <w:kern w:val="0"/>
          <w:sz w:val="27"/>
          <w:szCs w:val="27"/>
          <w:u w:val="single"/>
        </w:rPr>
        <w:t xml:space="preserve"> </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%，变动原因：</w:t>
      </w:r>
      <w:r>
        <w:rPr>
          <w:rFonts w:ascii="fang_song_gb2312" w:hAnsi="fang_song_gb2312" w:eastAsia="fang_song_gb2312" w:cs="fang_song_gb2312"/>
          <w:color w:val="auto"/>
          <w:kern w:val="0"/>
          <w:sz w:val="27"/>
          <w:szCs w:val="27"/>
        </w:rPr>
        <w:t>本</w:t>
      </w:r>
      <w:r>
        <w:rPr>
          <w:rFonts w:hint="eastAsia" w:ascii="fang_song_gb2312" w:hAnsi="fang_song_gb2312" w:cs="fang_song_gb2312"/>
          <w:color w:val="auto"/>
          <w:kern w:val="0"/>
          <w:sz w:val="27"/>
          <w:szCs w:val="27"/>
          <w:lang w:eastAsia="zh-CN"/>
        </w:rPr>
        <w:t>单位</w:t>
      </w:r>
      <w:r>
        <w:rPr>
          <w:rFonts w:ascii="fang_song_gb2312" w:hAnsi="fang_song_gb2312" w:eastAsia="fang_song_gb2312" w:cs="fang_song_gb2312"/>
          <w:color w:val="auto"/>
          <w:kern w:val="0"/>
          <w:sz w:val="27"/>
          <w:szCs w:val="27"/>
        </w:rPr>
        <w:t>无国有资本经营预算财政拨款收、支、余</w:t>
      </w:r>
      <w:r>
        <w:rPr>
          <w:rFonts w:ascii="fang_song_gb2312" w:hAnsi="fang_song_gb2312" w:eastAsia="fang_song_gb2312" w:cs="fang_song_gb2312"/>
          <w:kern w:val="0"/>
          <w:sz w:val="27"/>
          <w:szCs w:val="27"/>
        </w:rPr>
        <w:t>。</w:t>
      </w:r>
    </w:p>
    <w:p w14:paraId="02B4AC1C">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十一、机构运行经费支出决算情况说明</w:t>
      </w:r>
    </w:p>
    <w:p w14:paraId="7F9DFACE">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年度机构运行经费支出决算</w:t>
      </w:r>
      <w:r>
        <w:rPr>
          <w:rFonts w:ascii="times_new_roman" w:hAnsi="times_new_roman" w:eastAsia="times_new_roman" w:cs="times_new_roman"/>
          <w:kern w:val="0"/>
          <w:sz w:val="27"/>
          <w:szCs w:val="27"/>
          <w:u w:val="single"/>
        </w:rPr>
        <w:t xml:space="preserve"> 58.12</w:t>
      </w:r>
      <w:r>
        <w:rPr>
          <w:rFonts w:ascii="fang_song_gb2312" w:hAnsi="fang_song_gb2312" w:eastAsia="fang_song_gb2312" w:cs="fang_song_gb2312"/>
          <w:kern w:val="0"/>
          <w:sz w:val="27"/>
          <w:szCs w:val="27"/>
        </w:rPr>
        <w:t>万元。比上年决算相比，减少</w:t>
      </w:r>
      <w:r>
        <w:rPr>
          <w:rFonts w:ascii="times_new_roman" w:hAnsi="times_new_roman" w:eastAsia="times_new_roman" w:cs="times_new_roman"/>
          <w:kern w:val="0"/>
          <w:sz w:val="27"/>
          <w:szCs w:val="27"/>
          <w:u w:val="single"/>
        </w:rPr>
        <w:t>50.05</w:t>
      </w:r>
      <w:r>
        <w:rPr>
          <w:rFonts w:ascii="fang_song_gb2312" w:hAnsi="fang_song_gb2312" w:eastAsia="fang_song_gb2312" w:cs="fang_song_gb2312"/>
          <w:kern w:val="0"/>
          <w:sz w:val="27"/>
          <w:szCs w:val="27"/>
        </w:rPr>
        <w:t>万元，减少</w:t>
      </w:r>
      <w:r>
        <w:rPr>
          <w:rFonts w:ascii="times_new_roman" w:hAnsi="times_new_roman" w:eastAsia="times_new_roman" w:cs="times_new_roman"/>
          <w:kern w:val="0"/>
          <w:sz w:val="27"/>
          <w:szCs w:val="27"/>
          <w:u w:val="single"/>
        </w:rPr>
        <w:t>46.27</w:t>
      </w:r>
      <w:r>
        <w:rPr>
          <w:rFonts w:ascii="fang_song_gb2312" w:hAnsi="fang_song_gb2312" w:eastAsia="fang_song_gb2312" w:cs="fang_song_gb2312"/>
          <w:kern w:val="0"/>
          <w:sz w:val="27"/>
          <w:szCs w:val="27"/>
        </w:rPr>
        <w:t>%，变动原因：</w:t>
      </w:r>
      <w:r>
        <w:rPr>
          <w:rFonts w:hint="eastAsia" w:ascii="fang_song_gb2312" w:hAnsi="fang_song_gb2312" w:cs="fang_song_gb2312"/>
          <w:kern w:val="0"/>
          <w:sz w:val="27"/>
          <w:szCs w:val="27"/>
          <w:lang w:eastAsia="zh-CN"/>
        </w:rPr>
        <w:t>厉行节约</w:t>
      </w:r>
      <w:r>
        <w:rPr>
          <w:rFonts w:ascii="fang_song_gb2312" w:hAnsi="fang_song_gb2312" w:eastAsia="fang_song_gb2312" w:cs="fang_song_gb2312"/>
          <w:kern w:val="0"/>
          <w:sz w:val="27"/>
          <w:szCs w:val="27"/>
        </w:rPr>
        <w:t>。</w:t>
      </w:r>
    </w:p>
    <w:p w14:paraId="1844E9F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14:paraId="3A60791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年度政府采购支出总额</w:t>
      </w:r>
      <w:r>
        <w:rPr>
          <w:rFonts w:ascii="times_new_roman" w:hAnsi="times_new_roman" w:eastAsia="times_new_roman" w:cs="times_new_roman"/>
          <w:kern w:val="0"/>
          <w:sz w:val="27"/>
          <w:szCs w:val="27"/>
          <w:u w:val="single"/>
        </w:rPr>
        <w:t xml:space="preserve"> 578.85</w:t>
      </w:r>
      <w:r>
        <w:rPr>
          <w:rFonts w:ascii="fang_song_gb2312" w:hAnsi="fang_song_gb2312" w:eastAsia="fang_song_gb2312" w:cs="fang_song_gb2312"/>
          <w:kern w:val="0"/>
          <w:sz w:val="27"/>
          <w:szCs w:val="27"/>
        </w:rPr>
        <w:t>万元，其中：政府采购货物支出</w:t>
      </w:r>
      <w:r>
        <w:rPr>
          <w:rFonts w:ascii="times_new_roman" w:hAnsi="times_new_roman" w:eastAsia="times_new_roman" w:cs="times_new_roman"/>
          <w:kern w:val="0"/>
          <w:sz w:val="27"/>
          <w:szCs w:val="27"/>
          <w:u w:val="single"/>
        </w:rPr>
        <w:t xml:space="preserve"> 405.41</w:t>
      </w:r>
      <w:r>
        <w:rPr>
          <w:rFonts w:ascii="fang_song_gb2312" w:hAnsi="fang_song_gb2312" w:eastAsia="fang_song_gb2312" w:cs="fang_song_gb2312"/>
          <w:kern w:val="0"/>
          <w:sz w:val="27"/>
          <w:szCs w:val="27"/>
        </w:rPr>
        <w:t>万元、政府采购工程支出</w:t>
      </w:r>
      <w:r>
        <w:rPr>
          <w:rFonts w:ascii="times_new_roman" w:hAnsi="times_new_roman" w:eastAsia="times_new_roman" w:cs="times_new_roman"/>
          <w:kern w:val="0"/>
          <w:sz w:val="27"/>
          <w:szCs w:val="27"/>
          <w:u w:val="single"/>
        </w:rPr>
        <w:t xml:space="preserve"> 152.97</w:t>
      </w:r>
      <w:r>
        <w:rPr>
          <w:rFonts w:ascii="fang_song_gb2312" w:hAnsi="fang_song_gb2312" w:eastAsia="fang_song_gb2312" w:cs="fang_song_gb2312"/>
          <w:kern w:val="0"/>
          <w:sz w:val="27"/>
          <w:szCs w:val="27"/>
        </w:rPr>
        <w:t>万元、政府采购服务支出</w:t>
      </w:r>
      <w:r>
        <w:rPr>
          <w:rFonts w:ascii="times_new_roman" w:hAnsi="times_new_roman" w:eastAsia="times_new_roman" w:cs="times_new_roman"/>
          <w:kern w:val="0"/>
          <w:sz w:val="27"/>
          <w:szCs w:val="27"/>
          <w:u w:val="single"/>
        </w:rPr>
        <w:t xml:space="preserve"> 20.47</w:t>
      </w:r>
      <w:r>
        <w:rPr>
          <w:rFonts w:ascii="fang_song_gb2312" w:hAnsi="fang_song_gb2312" w:eastAsia="fang_song_gb2312" w:cs="fang_song_gb2312"/>
          <w:kern w:val="0"/>
          <w:sz w:val="27"/>
          <w:szCs w:val="27"/>
        </w:rPr>
        <w:t>万元。政府采购授予中小企业合同金额</w:t>
      </w:r>
      <w:r>
        <w:rPr>
          <w:rFonts w:ascii="times_new_roman" w:hAnsi="times_new_roman" w:eastAsia="times_new_roman" w:cs="times_new_roman"/>
          <w:kern w:val="0"/>
          <w:sz w:val="27"/>
          <w:szCs w:val="27"/>
          <w:u w:val="single"/>
        </w:rPr>
        <w:t xml:space="preserve"> 556.96</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96.22</w:t>
      </w:r>
      <w:r>
        <w:rPr>
          <w:rFonts w:ascii="fang_song_gb2312" w:hAnsi="fang_song_gb2312" w:eastAsia="fang_song_gb2312" w:cs="fang_song_gb2312"/>
          <w:kern w:val="0"/>
          <w:sz w:val="27"/>
          <w:szCs w:val="27"/>
        </w:rPr>
        <w:t>%，其中：授予小微企业合同金额</w:t>
      </w:r>
      <w:r>
        <w:rPr>
          <w:rFonts w:ascii="times_new_roman" w:hAnsi="times_new_roman" w:eastAsia="times_new_roman" w:cs="times_new_roman"/>
          <w:kern w:val="0"/>
          <w:sz w:val="27"/>
          <w:szCs w:val="27"/>
          <w:u w:val="single"/>
        </w:rPr>
        <w:t>  285.99</w:t>
      </w:r>
      <w:r>
        <w:rPr>
          <w:rFonts w:ascii="fang_song_gb2312" w:hAnsi="fang_song_gb2312" w:eastAsia="fang_song_gb2312" w:cs="fang_song_gb2312"/>
          <w:kern w:val="0"/>
          <w:sz w:val="27"/>
          <w:szCs w:val="27"/>
        </w:rPr>
        <w:t>万元，占政府采购支出总额的</w:t>
      </w:r>
      <w:r>
        <w:rPr>
          <w:rFonts w:hint="eastAsia" w:ascii="times_new_roman" w:hAnsi="times_new_roman" w:cs="times_new_roman"/>
          <w:kern w:val="0"/>
          <w:sz w:val="27"/>
          <w:szCs w:val="27"/>
          <w:u w:val="single"/>
          <w:lang w:val="en-US" w:eastAsia="zh-CN"/>
        </w:rPr>
        <w:t>49.41</w:t>
      </w:r>
      <w:r>
        <w:rPr>
          <w:rFonts w:ascii="fang_song_gb2312" w:hAnsi="fang_song_gb2312" w:eastAsia="fang_song_gb2312" w:cs="fang_song_gb2312"/>
          <w:kern w:val="0"/>
          <w:sz w:val="27"/>
          <w:szCs w:val="27"/>
        </w:rPr>
        <w:t>%；货物采购授予中小企业合同金额占货物支出金额的</w:t>
      </w:r>
      <w:r>
        <w:rPr>
          <w:rFonts w:hint="eastAsia" w:ascii="times_new_roman" w:hAnsi="times_new_roman" w:cs="times_new_roman"/>
          <w:kern w:val="0"/>
          <w:sz w:val="27"/>
          <w:szCs w:val="27"/>
          <w:u w:val="single"/>
          <w:lang w:val="en-US" w:eastAsia="zh-CN"/>
        </w:rPr>
        <w:t>70.04</w:t>
      </w:r>
      <w:r>
        <w:rPr>
          <w:rFonts w:ascii="fang_song_gb2312" w:hAnsi="fang_song_gb2312" w:eastAsia="fang_song_gb2312" w:cs="fang_song_gb2312"/>
          <w:kern w:val="0"/>
          <w:sz w:val="27"/>
          <w:szCs w:val="27"/>
        </w:rPr>
        <w:t>%，工程采购授予中小企业合同金额占工程支出金额的</w:t>
      </w:r>
      <w:r>
        <w:rPr>
          <w:rFonts w:hint="eastAsia" w:ascii="times_new_roman" w:hAnsi="times_new_roman" w:cs="times_new_roman"/>
          <w:kern w:val="0"/>
          <w:sz w:val="27"/>
          <w:szCs w:val="27"/>
          <w:u w:val="single"/>
          <w:lang w:val="en-US" w:eastAsia="zh-CN"/>
        </w:rPr>
        <w:t>26.43</w:t>
      </w:r>
      <w:r>
        <w:rPr>
          <w:rFonts w:ascii="fang_song_gb2312" w:hAnsi="fang_song_gb2312" w:eastAsia="fang_song_gb2312" w:cs="fang_song_gb2312"/>
          <w:kern w:val="0"/>
          <w:sz w:val="27"/>
          <w:szCs w:val="27"/>
        </w:rPr>
        <w:t>%，服务采购授予中小企业合同金额占服务支出金额的</w:t>
      </w:r>
      <w:r>
        <w:rPr>
          <w:rFonts w:hint="eastAsia" w:ascii="times_new_roman" w:hAnsi="times_new_roman" w:cs="times_new_roman"/>
          <w:kern w:val="0"/>
          <w:sz w:val="27"/>
          <w:szCs w:val="27"/>
          <w:u w:val="single"/>
          <w:lang w:val="en-US" w:eastAsia="zh-CN"/>
        </w:rPr>
        <w:t>3.53</w:t>
      </w:r>
      <w:r>
        <w:rPr>
          <w:rFonts w:ascii="fang_song_gb2312" w:hAnsi="fang_song_gb2312" w:eastAsia="fang_song_gb2312" w:cs="fang_song_gb2312"/>
          <w:kern w:val="0"/>
          <w:sz w:val="27"/>
          <w:szCs w:val="27"/>
        </w:rPr>
        <w:t>%。</w:t>
      </w:r>
    </w:p>
    <w:p w14:paraId="299E05D2">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14:paraId="2821134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内蒙古自治区巴彦淖尔市第二医院 截至</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w:t>
      </w:r>
      <w:r>
        <w:rPr>
          <w:rFonts w:ascii="times_new_roman" w:hAnsi="times_new_roman" w:eastAsia="times_new_roman" w:cs="times_new_roman"/>
          <w:kern w:val="0"/>
          <w:sz w:val="27"/>
          <w:szCs w:val="27"/>
        </w:rPr>
        <w:t>12</w:t>
      </w:r>
      <w:r>
        <w:rPr>
          <w:rFonts w:ascii="fang_song_gb2312" w:hAnsi="fang_song_gb2312" w:eastAsia="fang_song_gb2312" w:cs="fang_song_gb2312"/>
          <w:kern w:val="0"/>
          <w:sz w:val="27"/>
          <w:szCs w:val="27"/>
        </w:rPr>
        <w:t>月</w:t>
      </w:r>
      <w:r>
        <w:rPr>
          <w:rFonts w:ascii="times_new_roman" w:hAnsi="times_new_roman" w:eastAsia="times_new_roman" w:cs="times_new_roman"/>
          <w:kern w:val="0"/>
          <w:sz w:val="27"/>
          <w:szCs w:val="27"/>
        </w:rPr>
        <w:t>31</w:t>
      </w:r>
      <w:r>
        <w:rPr>
          <w:rFonts w:ascii="fang_song_gb2312" w:hAnsi="fang_song_gb2312" w:eastAsia="fang_song_gb2312" w:cs="fang_song_gb2312"/>
          <w:kern w:val="0"/>
          <w:sz w:val="27"/>
          <w:szCs w:val="27"/>
        </w:rPr>
        <w:t>日，本</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共有车辆</w:t>
      </w:r>
      <w:r>
        <w:rPr>
          <w:rFonts w:ascii="times_new_roman" w:hAnsi="times_new_roman" w:eastAsia="times_new_roman" w:cs="times_new_roman"/>
          <w:kern w:val="0"/>
          <w:sz w:val="27"/>
          <w:szCs w:val="27"/>
          <w:u w:val="single"/>
        </w:rPr>
        <w:t xml:space="preserve"> 4</w:t>
      </w:r>
      <w:r>
        <w:rPr>
          <w:rFonts w:ascii="fang_song_gb2312" w:hAnsi="fang_song_gb2312" w:eastAsia="fang_song_gb2312" w:cs="fang_song_gb2312"/>
          <w:kern w:val="0"/>
          <w:sz w:val="27"/>
          <w:szCs w:val="27"/>
        </w:rPr>
        <w:t>辆，其中：副部（省）级及以上领导用车</w:t>
      </w:r>
      <w:r>
        <w:rPr>
          <w:rFonts w:ascii="times_new_roman" w:hAnsi="times_new_roman" w:eastAsia="times_new_roman" w:cs="times_new_roman"/>
          <w:kern w:val="0"/>
          <w:sz w:val="27"/>
          <w:szCs w:val="27"/>
          <w:u w:val="single"/>
        </w:rPr>
        <w:t xml:space="preserve">0 </w:t>
      </w:r>
      <w:r>
        <w:rPr>
          <w:rFonts w:ascii="fang_song_gb2312" w:hAnsi="fang_song_gb2312" w:eastAsia="fang_song_gb2312" w:cs="fang_song_gb2312"/>
          <w:kern w:val="0"/>
          <w:sz w:val="27"/>
          <w:szCs w:val="27"/>
        </w:rPr>
        <w:t>辆、主要负责人用车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辆、机要通信用车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辆、应急保障用车</w:t>
      </w:r>
      <w:r>
        <w:rPr>
          <w:rFonts w:ascii="times_new_roman" w:hAnsi="times_new_roman" w:eastAsia="times_new_roman" w:cs="times_new_roman"/>
          <w:kern w:val="0"/>
          <w:sz w:val="27"/>
          <w:szCs w:val="27"/>
          <w:u w:val="single"/>
        </w:rPr>
        <w:t xml:space="preserve"> 1</w:t>
      </w:r>
      <w:r>
        <w:rPr>
          <w:rFonts w:ascii="fang_song_gb2312" w:hAnsi="fang_song_gb2312" w:eastAsia="fang_song_gb2312" w:cs="fang_song_gb2312"/>
          <w:kern w:val="0"/>
          <w:sz w:val="27"/>
          <w:szCs w:val="27"/>
        </w:rPr>
        <w:t>辆、执法执勤用车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辆、特种专业技术用车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辆、离退休干部服务用车</w:t>
      </w:r>
      <w:r>
        <w:rPr>
          <w:rFonts w:ascii="times_new_roman" w:hAnsi="times_new_roman" w:eastAsia="times_new_roman" w:cs="times_new_roman"/>
          <w:kern w:val="0"/>
          <w:sz w:val="27"/>
          <w:szCs w:val="27"/>
          <w:u w:val="single"/>
        </w:rPr>
        <w:t xml:space="preserve"> 0</w:t>
      </w:r>
      <w:r>
        <w:rPr>
          <w:rFonts w:ascii="fang_song_gb2312" w:hAnsi="fang_song_gb2312" w:eastAsia="fang_song_gb2312" w:cs="fang_song_gb2312"/>
          <w:kern w:val="0"/>
          <w:sz w:val="27"/>
          <w:szCs w:val="27"/>
        </w:rPr>
        <w:t>辆，其他用车</w:t>
      </w:r>
      <w:r>
        <w:rPr>
          <w:rFonts w:ascii="times_new_roman" w:hAnsi="times_new_roman" w:eastAsia="times_new_roman" w:cs="times_new_roman"/>
          <w:kern w:val="0"/>
          <w:sz w:val="27"/>
          <w:szCs w:val="27"/>
          <w:u w:val="single"/>
        </w:rPr>
        <w:t xml:space="preserve"> 3</w:t>
      </w:r>
      <w:r>
        <w:rPr>
          <w:rFonts w:ascii="fang_song_gb2312" w:hAnsi="fang_song_gb2312" w:eastAsia="fang_song_gb2312" w:cs="fang_song_gb2312"/>
          <w:kern w:val="0"/>
          <w:sz w:val="27"/>
          <w:szCs w:val="27"/>
        </w:rPr>
        <w:t>辆；单价100万元（含）以上的设备（不含车辆）</w:t>
      </w:r>
      <w:r>
        <w:rPr>
          <w:rFonts w:ascii="times_new_roman" w:hAnsi="times_new_roman" w:eastAsia="times_new_roman" w:cs="times_new_roman"/>
          <w:kern w:val="0"/>
          <w:sz w:val="27"/>
          <w:szCs w:val="27"/>
          <w:u w:val="single"/>
        </w:rPr>
        <w:t xml:space="preserve"> 4</w:t>
      </w:r>
      <w:r>
        <w:rPr>
          <w:rFonts w:ascii="fang_song_gb2312" w:hAnsi="fang_song_gb2312" w:eastAsia="fang_song_gb2312" w:cs="fang_song_gb2312"/>
          <w:kern w:val="0"/>
          <w:sz w:val="27"/>
          <w:szCs w:val="27"/>
        </w:rPr>
        <w:t>台（套）。</w:t>
      </w:r>
    </w:p>
    <w:p w14:paraId="679DF9E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14:paraId="44CC064A">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14:paraId="0B516E4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内蒙古自治区巴彦淖尔市第二医院 根据预算绩效管理要求组织对</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年一般公共预算项目支出全面开展绩效自评，其中一级项目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5</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918.45</w:t>
      </w:r>
      <w:r>
        <w:rPr>
          <w:rFonts w:ascii="fang_song_gb2312" w:hAnsi="fang_song_gb2312" w:eastAsia="fang_song_gb2312" w:cs="fang_song_gb2312"/>
          <w:kern w:val="0"/>
          <w:sz w:val="27"/>
          <w:szCs w:val="27"/>
        </w:rPr>
        <w:t>万元，占一般公共预算项目支出总额的</w:t>
      </w:r>
      <w:r>
        <w:rPr>
          <w:rFonts w:hint="eastAsia" w:ascii="times_new_roman" w:hAnsi="times_new_roman" w:cs="times_new_roman"/>
          <w:kern w:val="0"/>
          <w:sz w:val="27"/>
          <w:szCs w:val="27"/>
          <w:lang w:val="en-US" w:eastAsia="zh-CN"/>
        </w:rPr>
        <w:t>100</w:t>
      </w:r>
      <w:r>
        <w:rPr>
          <w:rFonts w:ascii="fang_song_gb2312" w:hAnsi="fang_song_gb2312" w:eastAsia="fang_song_gb2312" w:cs="fang_song_gb2312"/>
          <w:kern w:val="0"/>
          <w:sz w:val="27"/>
          <w:szCs w:val="27"/>
        </w:rPr>
        <w:t>%；政府性基金预算项目</w:t>
      </w:r>
      <w:r>
        <w:rPr>
          <w:rFonts w:hint="eastAsia" w:ascii="times_new_roman" w:hAnsi="times_new_roman" w:cs="times_new_roman"/>
          <w:kern w:val="0"/>
          <w:sz w:val="27"/>
          <w:szCs w:val="27"/>
          <w:u w:val="single"/>
          <w:lang w:val="en-US" w:eastAsia="zh-CN"/>
        </w:rPr>
        <w:t>3</w:t>
      </w:r>
      <w:r>
        <w:rPr>
          <w:rFonts w:ascii="fang_song_gb2312" w:hAnsi="fang_song_gb2312" w:eastAsia="fang_song_gb2312" w:cs="fang_song_gb2312"/>
          <w:kern w:val="0"/>
          <w:sz w:val="27"/>
          <w:szCs w:val="27"/>
        </w:rPr>
        <w:t>个，其中，一级项目</w:t>
      </w:r>
      <w:r>
        <w:rPr>
          <w:rFonts w:hint="eastAsia" w:ascii="times_new_roman" w:hAnsi="times_new_roman" w:cs="times_new_roman"/>
          <w:kern w:val="0"/>
          <w:sz w:val="27"/>
          <w:szCs w:val="27"/>
          <w:u w:val="single"/>
          <w:lang w:val="en-US" w:eastAsia="zh-CN"/>
        </w:rPr>
        <w:t>0</w:t>
      </w:r>
      <w:r>
        <w:rPr>
          <w:rFonts w:ascii="fang_song_gb2312" w:hAnsi="fang_song_gb2312" w:eastAsia="fang_song_gb2312" w:cs="fang_song_gb2312"/>
          <w:kern w:val="0"/>
          <w:sz w:val="27"/>
          <w:szCs w:val="27"/>
        </w:rPr>
        <w:t>个，二级项目</w:t>
      </w:r>
      <w:r>
        <w:rPr>
          <w:rFonts w:hint="eastAsia" w:ascii="times_new_roman" w:hAnsi="times_new_roman" w:cs="times_new_roman"/>
          <w:kern w:val="0"/>
          <w:sz w:val="27"/>
          <w:szCs w:val="27"/>
          <w:u w:val="single"/>
          <w:lang w:val="en-US" w:eastAsia="zh-CN"/>
        </w:rPr>
        <w:t>3</w:t>
      </w:r>
      <w:r>
        <w:rPr>
          <w:rFonts w:ascii="fang_song_gb2312" w:hAnsi="fang_song_gb2312" w:eastAsia="fang_song_gb2312" w:cs="fang_song_gb2312"/>
          <w:kern w:val="0"/>
          <w:sz w:val="27"/>
          <w:szCs w:val="27"/>
        </w:rPr>
        <w:t>个，共涉及资金</w:t>
      </w:r>
      <w:r>
        <w:rPr>
          <w:rFonts w:hint="eastAsia" w:ascii="times_new_roman" w:hAnsi="times_new_roman" w:cs="times_new_roman"/>
          <w:kern w:val="0"/>
          <w:sz w:val="27"/>
          <w:szCs w:val="27"/>
          <w:u w:val="single"/>
          <w:lang w:val="en-US" w:eastAsia="zh-CN"/>
        </w:rPr>
        <w:t>2015.56</w:t>
      </w:r>
      <w:r>
        <w:rPr>
          <w:rFonts w:ascii="fang_song_gb2312" w:hAnsi="fang_song_gb2312" w:eastAsia="fang_song_gb2312" w:cs="fang_song_gb2312"/>
          <w:kern w:val="0"/>
          <w:sz w:val="27"/>
          <w:szCs w:val="27"/>
        </w:rPr>
        <w:t>万元，占应纳入绩效自评的政府性基金预算项目支出总额的</w:t>
      </w:r>
      <w:r>
        <w:rPr>
          <w:rFonts w:ascii="times_new_roman" w:hAnsi="times_new_roman" w:eastAsia="times_new_roman" w:cs="times_new_roman"/>
          <w:kern w:val="0"/>
          <w:sz w:val="27"/>
          <w:szCs w:val="27"/>
        </w:rPr>
        <w:t>100%</w:t>
      </w:r>
      <w:r>
        <w:rPr>
          <w:rFonts w:ascii="fang_song_gb2312" w:hAnsi="fang_song_gb2312" w:eastAsia="fang_song_gb2312" w:cs="fang_song_gb2312"/>
          <w:kern w:val="0"/>
          <w:sz w:val="27"/>
          <w:szCs w:val="27"/>
        </w:rPr>
        <w:t>。</w:t>
      </w:r>
    </w:p>
    <w:p w14:paraId="0EDCC87F">
      <w:pPr>
        <w:spacing w:line="580" w:lineRule="exact"/>
        <w:ind w:firstLine="640"/>
        <w:jc w:val="both"/>
        <w:rPr>
          <w:rFonts w:ascii="fang_song_gb2312" w:hAnsi="fang_song_gb2312" w:eastAsia="fang_song_gb2312" w:cs="fang_song_gb2312"/>
          <w:kern w:val="0"/>
          <w:sz w:val="27"/>
          <w:szCs w:val="27"/>
        </w:rPr>
      </w:pPr>
      <w:r>
        <w:rPr>
          <w:rFonts w:ascii="fang_song_gb2312" w:hAnsi="fang_song_gb2312" w:eastAsia="fang_song_gb2312" w:cs="fang_song_gb2312"/>
          <w:kern w:val="0"/>
          <w:sz w:val="27"/>
          <w:szCs w:val="27"/>
        </w:rPr>
        <w:t>    组织对“</w:t>
      </w:r>
      <w:r>
        <w:rPr>
          <w:rFonts w:hint="eastAsia" w:ascii="fang_song_gb2312" w:hAnsi="fang_song_gb2312" w:eastAsia="fang_song_gb2312" w:cs="fang_song_gb2312"/>
          <w:kern w:val="0"/>
          <w:sz w:val="27"/>
          <w:szCs w:val="27"/>
          <w:lang w:eastAsia="zh-CN"/>
        </w:rPr>
        <w:t>巴彦淖尔市第二医院（市传染病医院）建设项目</w:t>
      </w:r>
      <w:r>
        <w:rPr>
          <w:rFonts w:ascii="fang_song_gb2312" w:hAnsi="fang_song_gb2312" w:eastAsia="fang_song_gb2312" w:cs="fang_song_gb2312"/>
          <w:kern w:val="0"/>
          <w:sz w:val="27"/>
          <w:szCs w:val="27"/>
        </w:rPr>
        <w:t>”、“</w:t>
      </w:r>
      <w:r>
        <w:rPr>
          <w:rFonts w:hint="eastAsia" w:ascii="times_new_roman" w:hAnsi="times_new_roman" w:cs="times_new_roman"/>
          <w:kern w:val="0"/>
          <w:sz w:val="27"/>
          <w:szCs w:val="27"/>
          <w:lang w:eastAsia="zh-CN"/>
        </w:rPr>
        <w:t>传染病医院取暖及维修（护）</w:t>
      </w:r>
      <w:r>
        <w:rPr>
          <w:rFonts w:ascii="fang_song_gb2312" w:hAnsi="fang_song_gb2312" w:eastAsia="fang_song_gb2312" w:cs="fang_song_gb2312"/>
          <w:kern w:val="0"/>
          <w:sz w:val="27"/>
          <w:szCs w:val="27"/>
        </w:rPr>
        <w:t>项目”、“</w:t>
      </w:r>
      <w:r>
        <w:rPr>
          <w:rFonts w:hint="eastAsia" w:ascii="times_new_roman" w:hAnsi="times_new_roman" w:cs="times_new_roman"/>
          <w:kern w:val="0"/>
          <w:sz w:val="27"/>
          <w:szCs w:val="27"/>
          <w:lang w:val="en-US" w:eastAsia="zh-CN"/>
        </w:rPr>
        <w:t>2023重大传染病防控中央财政经费</w:t>
      </w:r>
      <w:r>
        <w:rPr>
          <w:rFonts w:ascii="fang_song_gb2312" w:hAnsi="fang_song_gb2312" w:eastAsia="fang_song_gb2312" w:cs="fang_song_gb2312"/>
          <w:kern w:val="0"/>
          <w:sz w:val="27"/>
          <w:szCs w:val="27"/>
        </w:rPr>
        <w:t>项目”等</w:t>
      </w:r>
      <w:r>
        <w:rPr>
          <w:rFonts w:ascii="fang_song_gb2312" w:hAnsi="fang_song_gb2312" w:eastAsia="fang_song_gb2312" w:cs="fang_song_gb2312"/>
          <w:kern w:val="0"/>
          <w:sz w:val="27"/>
          <w:szCs w:val="27"/>
          <w:u w:val="single"/>
        </w:rPr>
        <w:t> </w:t>
      </w:r>
      <w:r>
        <w:rPr>
          <w:rFonts w:hint="eastAsia" w:ascii="fang_song_gb2312" w:hAnsi="fang_song_gb2312" w:cs="fang_song_gb2312"/>
          <w:kern w:val="0"/>
          <w:sz w:val="27"/>
          <w:szCs w:val="27"/>
          <w:u w:val="single"/>
          <w:lang w:val="en-US" w:eastAsia="zh-CN"/>
        </w:rPr>
        <w:t>8</w:t>
      </w:r>
      <w:r>
        <w:rPr>
          <w:rFonts w:ascii="fang_song_gb2312" w:hAnsi="fang_song_gb2312" w:eastAsia="fang_song_gb2312" w:cs="fang_song_gb2312"/>
          <w:kern w:val="0"/>
          <w:sz w:val="27"/>
          <w:szCs w:val="27"/>
          <w:u w:val="single"/>
        </w:rPr>
        <w:t> </w:t>
      </w:r>
      <w:r>
        <w:rPr>
          <w:rFonts w:ascii="fang_song_gb2312" w:hAnsi="fang_song_gb2312" w:eastAsia="fang_song_gb2312" w:cs="fang_song_gb2312"/>
          <w:kern w:val="0"/>
          <w:sz w:val="27"/>
          <w:szCs w:val="27"/>
        </w:rPr>
        <w:t>个项目开展了</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评价（此处即为重点评价内容），涉及一般公共预算支出</w:t>
      </w:r>
      <w:r>
        <w:rPr>
          <w:rFonts w:hint="eastAsia" w:ascii="times_new_roman" w:hAnsi="times_new_roman" w:cs="times_new_roman"/>
          <w:kern w:val="0"/>
          <w:sz w:val="27"/>
          <w:szCs w:val="27"/>
          <w:u w:val="single"/>
          <w:lang w:val="en-US" w:eastAsia="zh-CN"/>
        </w:rPr>
        <w:t>918.45</w:t>
      </w:r>
      <w:r>
        <w:rPr>
          <w:rFonts w:ascii="fang_song_gb2312" w:hAnsi="fang_song_gb2312" w:eastAsia="fang_song_gb2312" w:cs="fang_song_gb2312"/>
          <w:kern w:val="0"/>
          <w:sz w:val="27"/>
          <w:szCs w:val="27"/>
        </w:rPr>
        <w:t>万元，政府性基金支出</w:t>
      </w:r>
      <w:r>
        <w:rPr>
          <w:rFonts w:hint="eastAsia" w:ascii="times_new_roman" w:hAnsi="times_new_roman" w:cs="times_new_roman"/>
          <w:kern w:val="0"/>
          <w:sz w:val="27"/>
          <w:szCs w:val="27"/>
          <w:u w:val="single"/>
          <w:lang w:val="en-US" w:eastAsia="zh-CN"/>
        </w:rPr>
        <w:t>2015.56</w:t>
      </w:r>
      <w:r>
        <w:rPr>
          <w:rFonts w:ascii="fang_song_gb2312" w:hAnsi="fang_song_gb2312" w:eastAsia="fang_song_gb2312" w:cs="fang_song_gb2312"/>
          <w:kern w:val="0"/>
          <w:sz w:val="27"/>
          <w:szCs w:val="27"/>
        </w:rPr>
        <w:t>万元。</w:t>
      </w:r>
      <w:r>
        <w:rPr>
          <w:rFonts w:hint="eastAsia" w:ascii="fang_song_gb2312" w:hAnsi="fang_song_gb2312" w:cs="fang_song_gb2312"/>
          <w:kern w:val="0"/>
          <w:sz w:val="27"/>
          <w:szCs w:val="27"/>
          <w:lang w:eastAsia="zh-CN"/>
        </w:rPr>
        <w:t>未</w:t>
      </w:r>
      <w:r>
        <w:rPr>
          <w:rFonts w:ascii="fang_song_gb2312" w:hAnsi="fang_song_gb2312" w:eastAsia="fang_song_gb2312" w:cs="fang_song_gb2312"/>
          <w:kern w:val="0"/>
          <w:sz w:val="27"/>
          <w:szCs w:val="27"/>
        </w:rPr>
        <w:t>委托相关第三方机构开展绩效评价。</w:t>
      </w:r>
      <w:r>
        <w:rPr>
          <w:rFonts w:hint="eastAsia" w:ascii="fang_song_gb2312" w:hAnsi="fang_song_gb2312" w:eastAsia="fang_song_gb2312" w:cs="fang_song_gb2312"/>
          <w:kern w:val="0"/>
          <w:sz w:val="27"/>
          <w:szCs w:val="27"/>
          <w:lang w:eastAsia="zh-CN"/>
        </w:rPr>
        <w:t>我单位不涉及重点绩效评价工作。</w:t>
      </w:r>
    </w:p>
    <w:p w14:paraId="28451540">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w:t>
      </w:r>
      <w:r>
        <w:rPr>
          <w:rFonts w:hint="eastAsia" w:ascii="kai_ti_gb2312" w:hAnsi="kai_ti_gb2312" w:cs="kai_ti_gb2312"/>
          <w:b/>
          <w:bCs/>
          <w:kern w:val="0"/>
          <w:sz w:val="27"/>
          <w:szCs w:val="27"/>
          <w:lang w:eastAsia="zh-CN"/>
        </w:rPr>
        <w:t>单位</w:t>
      </w:r>
      <w:r>
        <w:rPr>
          <w:rFonts w:ascii="kai_ti_gb2312" w:hAnsi="kai_ti_gb2312" w:eastAsia="kai_ti_gb2312" w:cs="kai_ti_gb2312"/>
          <w:b/>
          <w:bCs/>
          <w:kern w:val="0"/>
          <w:sz w:val="27"/>
          <w:szCs w:val="27"/>
        </w:rPr>
        <w:t>决算中项目绩效自评结果。</w:t>
      </w:r>
    </w:p>
    <w:p w14:paraId="02DAAED1">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内蒙古自治区巴彦淖尔市第二医院 </w:t>
      </w:r>
      <w:r>
        <w:rPr>
          <w:rFonts w:ascii="times_new_roman" w:hAnsi="times_new_roman" w:eastAsia="times_new_roman" w:cs="times_new_roman"/>
          <w:kern w:val="0"/>
          <w:sz w:val="27"/>
          <w:szCs w:val="27"/>
        </w:rPr>
        <w:t>2023</w:t>
      </w:r>
      <w:r>
        <w:rPr>
          <w:rFonts w:ascii="fang_song_gb2312" w:hAnsi="fang_song_gb2312" w:eastAsia="fang_song_gb2312" w:cs="fang_song_gb2312"/>
          <w:kern w:val="0"/>
          <w:sz w:val="27"/>
          <w:szCs w:val="27"/>
        </w:rPr>
        <w:t>年度在决算中反映</w:t>
      </w:r>
      <w:r>
        <w:rPr>
          <w:rFonts w:hint="eastAsia" w:ascii="times_new_roman" w:hAnsi="times_new_roman" w:cs="times_new_roman"/>
          <w:kern w:val="0"/>
          <w:sz w:val="27"/>
          <w:szCs w:val="27"/>
          <w:u w:val="single"/>
          <w:lang w:val="en-US" w:eastAsia="zh-CN"/>
        </w:rPr>
        <w:t>4</w:t>
      </w:r>
      <w:r>
        <w:rPr>
          <w:rFonts w:ascii="fang_song_gb2312" w:hAnsi="fang_song_gb2312" w:eastAsia="fang_song_gb2312" w:cs="fang_song_gb2312"/>
          <w:kern w:val="0"/>
          <w:sz w:val="27"/>
          <w:szCs w:val="27"/>
        </w:rPr>
        <w:t>个一般公共预算项目，以及</w:t>
      </w:r>
      <w:r>
        <w:rPr>
          <w:rFonts w:hint="eastAsia" w:ascii="times_new_roman" w:hAnsi="times_new_roman" w:cs="times_new_roman"/>
          <w:kern w:val="0"/>
          <w:sz w:val="27"/>
          <w:szCs w:val="27"/>
          <w:u w:val="single"/>
          <w:lang w:val="en-US" w:eastAsia="zh-CN"/>
        </w:rPr>
        <w:t>1</w:t>
      </w:r>
      <w:r>
        <w:rPr>
          <w:rFonts w:ascii="fang_song_gb2312" w:hAnsi="fang_song_gb2312" w:eastAsia="fang_song_gb2312" w:cs="fang_song_gb2312"/>
          <w:kern w:val="0"/>
          <w:sz w:val="27"/>
          <w:szCs w:val="27"/>
        </w:rPr>
        <w:t>个政府性基金项目，共</w:t>
      </w:r>
      <w:r>
        <w:rPr>
          <w:rFonts w:hint="eastAsia" w:ascii="times_new_roman" w:hAnsi="times_new_roman" w:cs="times_new_roman"/>
          <w:kern w:val="0"/>
          <w:sz w:val="27"/>
          <w:szCs w:val="27"/>
          <w:u w:val="single"/>
          <w:lang w:val="en-US" w:eastAsia="zh-CN"/>
        </w:rPr>
        <w:t>5</w:t>
      </w:r>
      <w:r>
        <w:rPr>
          <w:rFonts w:ascii="fang_song_gb2312" w:hAnsi="fang_song_gb2312" w:eastAsia="fang_song_gb2312" w:cs="fang_song_gb2312"/>
          <w:kern w:val="0"/>
          <w:sz w:val="27"/>
          <w:szCs w:val="27"/>
        </w:rPr>
        <w:t>个项目的绩效自评结果。</w:t>
      </w:r>
    </w:p>
    <w:p w14:paraId="6846AB10">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xml:space="preserve">    </w:t>
      </w:r>
      <w:r>
        <w:rPr>
          <w:rFonts w:ascii="times_new_roman" w:hAnsi="times_new_roman" w:eastAsia="times_new_roman" w:cs="times_new_roman"/>
          <w:kern w:val="0"/>
          <w:sz w:val="27"/>
          <w:szCs w:val="27"/>
        </w:rPr>
        <w:t>1.</w:t>
      </w:r>
      <w:r>
        <w:rPr>
          <w:rFonts w:hint="eastAsia" w:ascii="times_new_roman" w:hAnsi="times_new_roman" w:eastAsia="times_new_roman" w:cs="times_new_roman"/>
          <w:kern w:val="0"/>
          <w:sz w:val="27"/>
          <w:szCs w:val="27"/>
        </w:rPr>
        <w:t>巴彦淖尔市第二医院（市传染病医院）建设项目-1</w:t>
      </w:r>
      <w:r>
        <w:rPr>
          <w:rFonts w:ascii="fang_song_gb2312" w:hAnsi="fang_song_gb2312" w:eastAsia="fang_song_gb2312" w:cs="fang_song_gb2312"/>
          <w:kern w:val="0"/>
          <w:sz w:val="27"/>
          <w:szCs w:val="27"/>
        </w:rPr>
        <w:t>自评综述：根据年初设定的绩效目标，项目自评得分</w:t>
      </w:r>
      <w:r>
        <w:rPr>
          <w:rFonts w:hint="eastAsia" w:ascii="times_new_roman" w:hAnsi="times_new_roman" w:cs="times_new_roman"/>
          <w:kern w:val="0"/>
          <w:sz w:val="27"/>
          <w:szCs w:val="27"/>
          <w:u w:val="single"/>
          <w:lang w:val="en-US" w:eastAsia="zh-CN"/>
        </w:rPr>
        <w:t>97.72</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1970.08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1970.08</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新建医院床位增至150张床位，提高了收治病人的能力，给人民提供可靠的就医条件。财政安排9000万地债项目建设款，已全部列入计划支出项目，有效的促进巴彦淖尔市第二医院建设项目进度。</w:t>
      </w:r>
      <w:r>
        <w:rPr>
          <w:rFonts w:ascii="fang_song_gb2312" w:hAnsi="fang_song_gb2312" w:eastAsia="fang_song_gb2312" w:cs="fang_song_gb2312"/>
          <w:kern w:val="0"/>
          <w:sz w:val="27"/>
          <w:szCs w:val="27"/>
        </w:rPr>
        <w:t>发现的主要问题及原因：</w:t>
      </w:r>
      <w:r>
        <w:rPr>
          <w:rFonts w:hint="eastAsia" w:ascii="fang_song_gb2312" w:hAnsi="fang_song_gb2312" w:cs="fang_song_gb2312"/>
          <w:kern w:val="0"/>
          <w:sz w:val="27"/>
          <w:szCs w:val="27"/>
          <w:lang w:eastAsia="zh-CN"/>
        </w:rPr>
        <w:t>验收进度较慢</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为保障巴彦淖尔市第二医院建设项目顺利进行我院成立项目部对工程项目进行监管与督促，项目负责人亲自到现场督促工程施工进度，保证施工质量。</w:t>
      </w:r>
    </w:p>
    <w:p w14:paraId="58037EC0">
      <w:pPr>
        <w:widowControl/>
        <w:spacing w:before="240" w:after="240"/>
        <w:ind w:firstLine="490"/>
        <w:rPr>
          <w:rFonts w:hint="default" w:ascii="fang_song_gb2312" w:hAnsi="fang_song_gb2312" w:eastAsia="fang_song_gb2312" w:cs="fang_song_gb2312"/>
          <w:kern w:val="0"/>
          <w:sz w:val="27"/>
          <w:szCs w:val="27"/>
        </w:rPr>
      </w:pPr>
      <w:r>
        <w:rPr>
          <w:rFonts w:ascii="times_new_roman" w:hAnsi="times_new_roman" w:eastAsia="times_new_roman" w:cs="times_new_roman"/>
          <w:kern w:val="0"/>
          <w:sz w:val="27"/>
          <w:szCs w:val="27"/>
        </w:rPr>
        <w:t>2.</w:t>
      </w:r>
      <w:r>
        <w:rPr>
          <w:rFonts w:hint="eastAsia" w:ascii="times_new_roman" w:hAnsi="times_new_roman" w:eastAsia="times_new_roman" w:cs="times_new_roman"/>
          <w:kern w:val="0"/>
          <w:sz w:val="27"/>
          <w:szCs w:val="27"/>
        </w:rPr>
        <w:t>传染病医院取暖及维修（护）费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92.29</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18.98</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16.87</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88.88</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有效保障了巴彦淖尔市第二医院患者及职工的正常供暖需求</w:t>
      </w:r>
      <w:r>
        <w:rPr>
          <w:rFonts w:hint="eastAsia" w:ascii="fang_song_gb2312" w:hAnsi="fang_song_gb2312" w:cs="fang_song_gb2312"/>
          <w:kern w:val="0"/>
          <w:sz w:val="27"/>
          <w:szCs w:val="27"/>
          <w:lang w:eastAsia="zh-CN"/>
        </w:rPr>
        <w:t>，但是有时因为设备故障，导致供暖温度不达标</w:t>
      </w:r>
      <w:r>
        <w:rPr>
          <w:rFonts w:hint="eastAsia" w:ascii="fang_song_gb2312" w:hAnsi="fang_song_gb2312" w:eastAsia="fang_song_gb2312" w:cs="fang_song_gb2312"/>
          <w:kern w:val="0"/>
          <w:sz w:val="27"/>
          <w:szCs w:val="27"/>
        </w:rPr>
        <w:t>。</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加强设备维修维护，通过不定时检查，提升供暖质量。</w:t>
      </w:r>
    </w:p>
    <w:p w14:paraId="0925B025">
      <w:pPr>
        <w:widowControl/>
        <w:spacing w:before="240" w:after="240"/>
        <w:ind w:firstLine="490"/>
        <w:rPr>
          <w:rFonts w:hint="default"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3.</w:t>
      </w:r>
      <w:r>
        <w:rPr>
          <w:rFonts w:hint="eastAsia" w:ascii="times_new_roman" w:hAnsi="times_new_roman" w:eastAsia="times_new_roman" w:cs="times_new_roman"/>
          <w:kern w:val="0"/>
          <w:sz w:val="27"/>
          <w:szCs w:val="27"/>
        </w:rPr>
        <w:t>耐多药肺结核患者免费治疗经费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93</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13.9</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13.9</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完成了52例耐药可疑者筛查、103例结核病患者分子检测；耐药可疑者筛查率97.8%，结核病患者分子检测率96.2%。</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配备相应的仪器设备，满足结核病患者开展耐药筛查的要求；按照登记结核病患者数测算所需试剂，保证免费试剂足量供应。</w:t>
      </w:r>
    </w:p>
    <w:p w14:paraId="704E6DC3">
      <w:pPr>
        <w:widowControl/>
        <w:spacing w:before="240" w:after="240"/>
        <w:ind w:firstLine="490"/>
        <w:rPr>
          <w:rFonts w:hint="default"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4.</w:t>
      </w:r>
      <w:r>
        <w:rPr>
          <w:rFonts w:hint="eastAsia" w:ascii="times_new_roman" w:hAnsi="times_new_roman" w:eastAsia="times_new_roman" w:cs="times_new_roman"/>
          <w:kern w:val="0"/>
          <w:sz w:val="27"/>
          <w:szCs w:val="27"/>
        </w:rPr>
        <w:t>市第二医院临时性补助中央财政补助资金</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95.66</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34.42</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34.42</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强化一线医务人员保护关心爱护措施，为广大一线义务人员全身心投入疫情防控工作提供坚强保障，给予关怀激励,我医院按照有关规定和要求，坚持专款专用，已及时将全部补助资金发放到相关医务人员手中。</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关注医务人员的实际需求，不断完善补助标准，更好地发挥项目的激励作用。同时探索建立动态调整机制，根据医疗行业的发展情况和政策变化进行适时谓整，以保持项目的持续性和有效性。</w:t>
      </w:r>
    </w:p>
    <w:p w14:paraId="07756B5F">
      <w:pPr>
        <w:widowControl/>
        <w:spacing w:before="240" w:after="240"/>
        <w:ind w:firstLine="490"/>
        <w:rPr>
          <w:rFonts w:hint="default" w:ascii="fang_song_gb2312" w:hAnsi="fang_song_gb2312" w:eastAsia="fang_song_gb2312" w:cs="fang_song_gb2312"/>
          <w:kern w:val="0"/>
          <w:sz w:val="27"/>
          <w:szCs w:val="27"/>
        </w:rPr>
      </w:pPr>
      <w:r>
        <w:rPr>
          <w:rFonts w:hint="eastAsia" w:ascii="fang_song_gb2312" w:hAnsi="fang_song_gb2312" w:cs="fang_song_gb2312"/>
          <w:kern w:val="0"/>
          <w:sz w:val="27"/>
          <w:szCs w:val="27"/>
          <w:lang w:val="en-US" w:eastAsia="zh-CN"/>
        </w:rPr>
        <w:t>5.</w:t>
      </w:r>
      <w:r>
        <w:rPr>
          <w:rFonts w:hint="eastAsia" w:ascii="times_new_roman" w:hAnsi="times_new_roman" w:eastAsia="times_new_roman" w:cs="times_new_roman"/>
          <w:kern w:val="0"/>
          <w:sz w:val="27"/>
          <w:szCs w:val="27"/>
        </w:rPr>
        <w:t>2023年重大传染病防控中央财政经费</w:t>
      </w:r>
      <w:r>
        <w:rPr>
          <w:rFonts w:ascii="fang_song_gb2312" w:hAnsi="fang_song_gb2312" w:eastAsia="fang_song_gb2312" w:cs="fang_song_gb2312"/>
          <w:kern w:val="0"/>
          <w:sz w:val="27"/>
          <w:szCs w:val="27"/>
        </w:rPr>
        <w:t>项目自评综述：根据年初设定的绩效目标，项目自评得分</w:t>
      </w:r>
      <w:r>
        <w:rPr>
          <w:rFonts w:hint="eastAsia" w:ascii="times_new_roman" w:hAnsi="times_new_roman" w:cs="times_new_roman"/>
          <w:kern w:val="0"/>
          <w:sz w:val="27"/>
          <w:szCs w:val="27"/>
          <w:u w:val="single"/>
          <w:lang w:val="en-US" w:eastAsia="zh-CN"/>
        </w:rPr>
        <w:t>94</w:t>
      </w:r>
      <w:r>
        <w:rPr>
          <w:rFonts w:ascii="fang_song_gb2312" w:hAnsi="fang_song_gb2312" w:eastAsia="fang_song_gb2312" w:cs="fang_song_gb2312"/>
          <w:kern w:val="0"/>
          <w:sz w:val="27"/>
          <w:szCs w:val="27"/>
        </w:rPr>
        <w:t>分。全年预算数为</w:t>
      </w:r>
      <w:r>
        <w:rPr>
          <w:rFonts w:hint="eastAsia" w:ascii="times_new_roman" w:hAnsi="times_new_roman" w:cs="times_new_roman"/>
          <w:kern w:val="0"/>
          <w:sz w:val="27"/>
          <w:szCs w:val="27"/>
          <w:u w:val="single"/>
          <w:lang w:val="en-US" w:eastAsia="zh-CN"/>
        </w:rPr>
        <w:t>19.1</w:t>
      </w:r>
      <w:r>
        <w:rPr>
          <w:rFonts w:ascii="fang_song_gb2312" w:hAnsi="fang_song_gb2312" w:eastAsia="fang_song_gb2312" w:cs="fang_song_gb2312"/>
          <w:kern w:val="0"/>
          <w:sz w:val="27"/>
          <w:szCs w:val="27"/>
        </w:rPr>
        <w:t>万元，执行数为</w:t>
      </w:r>
      <w:r>
        <w:rPr>
          <w:rFonts w:hint="eastAsia" w:ascii="times_new_roman" w:hAnsi="times_new_roman" w:cs="times_new_roman"/>
          <w:kern w:val="0"/>
          <w:sz w:val="27"/>
          <w:szCs w:val="27"/>
          <w:u w:val="single"/>
          <w:lang w:val="en-US" w:eastAsia="zh-CN"/>
        </w:rPr>
        <w:t>19.1</w:t>
      </w:r>
      <w:r>
        <w:rPr>
          <w:rFonts w:ascii="fang_song_gb2312" w:hAnsi="fang_song_gb2312" w:eastAsia="fang_song_gb2312" w:cs="fang_song_gb2312"/>
          <w:kern w:val="0"/>
          <w:sz w:val="27"/>
          <w:szCs w:val="27"/>
        </w:rPr>
        <w:t>万元，完成预算的</w:t>
      </w:r>
      <w:r>
        <w:rPr>
          <w:rFonts w:hint="eastAsia" w:ascii="times_new_roman" w:hAnsi="times_new_roman" w:cs="times_new_roman"/>
          <w:kern w:val="0"/>
          <w:sz w:val="27"/>
          <w:szCs w:val="27"/>
          <w:u w:val="single"/>
          <w:lang w:val="en-US" w:eastAsia="zh-CN"/>
        </w:rPr>
        <w:t>100</w:t>
      </w:r>
      <w:r>
        <w:rPr>
          <w:rFonts w:ascii="fang_song_gb2312" w:hAnsi="fang_song_gb2312" w:eastAsia="fang_song_gb2312" w:cs="fang_song_gb2312"/>
          <w:kern w:val="0"/>
          <w:sz w:val="27"/>
          <w:szCs w:val="27"/>
        </w:rPr>
        <w:t>%。项目绩效目标完成情况：</w:t>
      </w:r>
      <w:r>
        <w:rPr>
          <w:rFonts w:hint="eastAsia" w:ascii="fang_song_gb2312" w:hAnsi="fang_song_gb2312" w:eastAsia="fang_song_gb2312" w:cs="fang_song_gb2312"/>
          <w:kern w:val="0"/>
          <w:sz w:val="27"/>
          <w:szCs w:val="27"/>
        </w:rPr>
        <w:t>完成了648例耐药可疑者筛查、423例结核病患者分子检测；耐药可疑者筛查率97.8%，结核病患者分子检测率96.2%。</w:t>
      </w:r>
      <w:r>
        <w:rPr>
          <w:rFonts w:ascii="fang_song_gb2312" w:hAnsi="fang_song_gb2312" w:eastAsia="fang_song_gb2312" w:cs="fang_song_gb2312"/>
          <w:kern w:val="0"/>
          <w:sz w:val="27"/>
          <w:szCs w:val="27"/>
        </w:rPr>
        <w:t>下一步改进措施：</w:t>
      </w:r>
      <w:r>
        <w:rPr>
          <w:rFonts w:hint="default" w:ascii="fang_song_gb2312" w:hAnsi="fang_song_gb2312" w:eastAsia="fang_song_gb2312" w:cs="fang_song_gb2312"/>
          <w:kern w:val="0"/>
          <w:sz w:val="27"/>
          <w:szCs w:val="27"/>
        </w:rPr>
        <w:t>按照项目要求在结核病定点医院配备相应的仪器设备，满足结核病患者开展耐药筛查的要求；按照登记结核病患者数测算所需试剂，保证免费试剂足量供应。</w:t>
      </w:r>
    </w:p>
    <w:tbl>
      <w:tblPr>
        <w:tblStyle w:val="18"/>
        <w:tblW w:w="9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6"/>
        <w:gridCol w:w="736"/>
        <w:gridCol w:w="859"/>
        <w:gridCol w:w="737"/>
        <w:gridCol w:w="845"/>
        <w:gridCol w:w="791"/>
        <w:gridCol w:w="886"/>
        <w:gridCol w:w="873"/>
        <w:gridCol w:w="873"/>
        <w:gridCol w:w="832"/>
        <w:gridCol w:w="722"/>
        <w:gridCol w:w="709"/>
      </w:tblGrid>
      <w:tr w14:paraId="74B06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63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37BBE5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26B3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696D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12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0391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巴彦淖尔市第二医院（市传染病医院）建设项目-1</w:t>
            </w:r>
          </w:p>
        </w:tc>
      </w:tr>
      <w:tr w14:paraId="2367A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610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2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BF8D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79C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31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219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w:t>
            </w:r>
          </w:p>
        </w:tc>
      </w:tr>
      <w:tr w14:paraId="4423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9A5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BFC4">
            <w:pPr>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0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86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977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2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8A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B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293A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9BDF6">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7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B5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B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8F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40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F46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5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5777F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44AFE">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8B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72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w:t>
            </w:r>
          </w:p>
        </w:tc>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DF7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DA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5DB9">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21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09E0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77AC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DDA65">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E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17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E3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C8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551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0C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5E7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C7E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AC976">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9C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A7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6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B9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7E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6F5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97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1B9C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8564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5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F5F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1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36B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4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B6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659D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5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90D20">
            <w:pPr>
              <w:jc w:val="center"/>
              <w:rPr>
                <w:rFonts w:hint="eastAsia" w:ascii="宋体" w:hAnsi="宋体" w:eastAsia="宋体" w:cs="宋体"/>
                <w:i w:val="0"/>
                <w:iCs w:val="0"/>
                <w:color w:val="000000"/>
                <w:sz w:val="18"/>
                <w:szCs w:val="18"/>
                <w:u w:val="none"/>
              </w:rPr>
            </w:pPr>
          </w:p>
        </w:tc>
        <w:tc>
          <w:tcPr>
            <w:tcW w:w="41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5C2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加强传染病防治力度，提高防治工作质量，拓宽传染病监测范围，给人民提供可靠就医条件。</w:t>
            </w:r>
          </w:p>
        </w:tc>
        <w:tc>
          <w:tcPr>
            <w:tcW w:w="400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1E6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完成加强传染病防治力度，提高防治工作质量，拓宽传染病监测范围，给人民提供可靠就医条件。</w:t>
            </w:r>
          </w:p>
        </w:tc>
      </w:tr>
      <w:tr w14:paraId="6357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9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6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F2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A8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2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B0C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F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18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D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E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5E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CA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70403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restart"/>
            <w:tcBorders>
              <w:top w:val="single" w:color="000000" w:sz="4" w:space="0"/>
              <w:left w:val="single" w:color="000000" w:sz="4" w:space="0"/>
              <w:bottom w:val="nil"/>
              <w:right w:val="single" w:color="000000" w:sz="4" w:space="0"/>
            </w:tcBorders>
            <w:shd w:val="clear" w:color="auto" w:fill="auto"/>
            <w:vAlign w:val="center"/>
          </w:tcPr>
          <w:p w14:paraId="7463C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6" w:type="dxa"/>
            <w:vMerge w:val="restart"/>
            <w:tcBorders>
              <w:top w:val="single" w:color="000000" w:sz="4" w:space="0"/>
              <w:left w:val="single" w:color="000000" w:sz="4" w:space="0"/>
              <w:bottom w:val="nil"/>
              <w:right w:val="single" w:color="000000" w:sz="4" w:space="0"/>
            </w:tcBorders>
            <w:shd w:val="clear" w:color="auto" w:fill="auto"/>
            <w:vAlign w:val="center"/>
          </w:tcPr>
          <w:p w14:paraId="0D10B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859" w:type="dxa"/>
            <w:vMerge w:val="restart"/>
            <w:tcBorders>
              <w:top w:val="single" w:color="000000" w:sz="4" w:space="0"/>
              <w:left w:val="single" w:color="000000" w:sz="4" w:space="0"/>
              <w:bottom w:val="nil"/>
              <w:right w:val="single" w:color="000000" w:sz="4" w:space="0"/>
            </w:tcBorders>
            <w:shd w:val="clear" w:color="auto" w:fill="auto"/>
            <w:vAlign w:val="center"/>
          </w:tcPr>
          <w:p w14:paraId="1CE89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4FF48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完成前期报告编制</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595A8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78BA7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56963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272E4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5729A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79A3C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2AB4A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A098A87">
            <w:pPr>
              <w:jc w:val="center"/>
              <w:rPr>
                <w:rFonts w:hint="eastAsia" w:ascii="宋体" w:hAnsi="宋体" w:eastAsia="宋体" w:cs="宋体"/>
                <w:i w:val="0"/>
                <w:iCs w:val="0"/>
                <w:color w:val="000000"/>
                <w:sz w:val="18"/>
                <w:szCs w:val="18"/>
                <w:u w:val="none"/>
              </w:rPr>
            </w:pPr>
          </w:p>
        </w:tc>
      </w:tr>
      <w:tr w14:paraId="05535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18610F27">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1908E24F">
            <w:pPr>
              <w:jc w:val="center"/>
              <w:rPr>
                <w:rFonts w:hint="eastAsia" w:ascii="宋体" w:hAnsi="宋体" w:eastAsia="宋体" w:cs="宋体"/>
                <w:i w:val="0"/>
                <w:iCs w:val="0"/>
                <w:color w:val="000000"/>
                <w:sz w:val="18"/>
                <w:szCs w:val="18"/>
                <w:u w:val="none"/>
              </w:rPr>
            </w:pPr>
          </w:p>
        </w:tc>
        <w:tc>
          <w:tcPr>
            <w:tcW w:w="859" w:type="dxa"/>
            <w:vMerge w:val="continue"/>
            <w:tcBorders>
              <w:top w:val="single" w:color="000000" w:sz="4" w:space="0"/>
              <w:left w:val="single" w:color="000000" w:sz="4" w:space="0"/>
              <w:bottom w:val="nil"/>
              <w:right w:val="single" w:color="000000" w:sz="4" w:space="0"/>
            </w:tcBorders>
            <w:shd w:val="clear" w:color="auto" w:fill="auto"/>
            <w:vAlign w:val="center"/>
          </w:tcPr>
          <w:p w14:paraId="1723BB4B">
            <w:pPr>
              <w:jc w:val="center"/>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nil"/>
              <w:right w:val="single" w:color="000000" w:sz="4" w:space="0"/>
            </w:tcBorders>
            <w:shd w:val="clear" w:color="auto" w:fill="auto"/>
            <w:vAlign w:val="center"/>
          </w:tcPr>
          <w:p w14:paraId="04041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办理完成的证件</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59ABC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0F097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6F050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74A95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599FA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163130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21497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5B4848E">
            <w:pPr>
              <w:jc w:val="center"/>
              <w:rPr>
                <w:rFonts w:hint="eastAsia" w:ascii="宋体" w:hAnsi="宋体" w:eastAsia="宋体" w:cs="宋体"/>
                <w:i w:val="0"/>
                <w:iCs w:val="0"/>
                <w:color w:val="000000"/>
                <w:sz w:val="18"/>
                <w:szCs w:val="18"/>
                <w:u w:val="none"/>
              </w:rPr>
            </w:pPr>
          </w:p>
        </w:tc>
      </w:tr>
      <w:tr w14:paraId="0862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282BE770">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36E3138A">
            <w:pPr>
              <w:jc w:val="center"/>
              <w:rPr>
                <w:rFonts w:hint="eastAsia" w:ascii="宋体" w:hAnsi="宋体" w:eastAsia="宋体" w:cs="宋体"/>
                <w:i w:val="0"/>
                <w:iCs w:val="0"/>
                <w:color w:val="000000"/>
                <w:sz w:val="18"/>
                <w:szCs w:val="18"/>
                <w:u w:val="none"/>
              </w:rPr>
            </w:pPr>
          </w:p>
        </w:tc>
        <w:tc>
          <w:tcPr>
            <w:tcW w:w="859" w:type="dxa"/>
            <w:vMerge w:val="restart"/>
            <w:tcBorders>
              <w:top w:val="single" w:color="000000" w:sz="4" w:space="0"/>
              <w:left w:val="single" w:color="000000" w:sz="4" w:space="0"/>
              <w:bottom w:val="nil"/>
              <w:right w:val="single" w:color="000000" w:sz="4" w:space="0"/>
            </w:tcBorders>
            <w:shd w:val="clear" w:color="auto" w:fill="auto"/>
            <w:vAlign w:val="center"/>
          </w:tcPr>
          <w:p w14:paraId="1A88A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671D8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前期立项手续合格率</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2E6F3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1386A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572FA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5D56E0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04361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3E47C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7F788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C9E06CD">
            <w:pPr>
              <w:jc w:val="center"/>
              <w:rPr>
                <w:rFonts w:hint="eastAsia" w:ascii="宋体" w:hAnsi="宋体" w:eastAsia="宋体" w:cs="宋体"/>
                <w:i w:val="0"/>
                <w:iCs w:val="0"/>
                <w:color w:val="000000"/>
                <w:sz w:val="18"/>
                <w:szCs w:val="18"/>
                <w:u w:val="none"/>
              </w:rPr>
            </w:pPr>
          </w:p>
        </w:tc>
      </w:tr>
      <w:tr w14:paraId="434B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754D6FC0">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609A6866">
            <w:pPr>
              <w:jc w:val="center"/>
              <w:rPr>
                <w:rFonts w:hint="eastAsia" w:ascii="宋体" w:hAnsi="宋体" w:eastAsia="宋体" w:cs="宋体"/>
                <w:i w:val="0"/>
                <w:iCs w:val="0"/>
                <w:color w:val="000000"/>
                <w:sz w:val="18"/>
                <w:szCs w:val="18"/>
                <w:u w:val="none"/>
              </w:rPr>
            </w:pPr>
          </w:p>
        </w:tc>
        <w:tc>
          <w:tcPr>
            <w:tcW w:w="859" w:type="dxa"/>
            <w:vMerge w:val="continue"/>
            <w:tcBorders>
              <w:top w:val="single" w:color="000000" w:sz="4" w:space="0"/>
              <w:left w:val="single" w:color="000000" w:sz="4" w:space="0"/>
              <w:bottom w:val="nil"/>
              <w:right w:val="single" w:color="000000" w:sz="4" w:space="0"/>
            </w:tcBorders>
            <w:shd w:val="clear" w:color="auto" w:fill="auto"/>
            <w:vAlign w:val="center"/>
          </w:tcPr>
          <w:p w14:paraId="659BEBD6">
            <w:pPr>
              <w:jc w:val="center"/>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nil"/>
              <w:right w:val="single" w:color="000000" w:sz="4" w:space="0"/>
            </w:tcBorders>
            <w:shd w:val="clear" w:color="auto" w:fill="auto"/>
            <w:vAlign w:val="center"/>
          </w:tcPr>
          <w:p w14:paraId="18522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工程总进度完成率</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686DF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09E25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78BBC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6336D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5A9742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7D028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5CD76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05E2DE76">
            <w:pPr>
              <w:jc w:val="center"/>
              <w:rPr>
                <w:rFonts w:hint="eastAsia" w:ascii="宋体" w:hAnsi="宋体" w:eastAsia="宋体" w:cs="宋体"/>
                <w:i w:val="0"/>
                <w:iCs w:val="0"/>
                <w:color w:val="000000"/>
                <w:sz w:val="18"/>
                <w:szCs w:val="18"/>
                <w:u w:val="none"/>
              </w:rPr>
            </w:pPr>
          </w:p>
        </w:tc>
      </w:tr>
      <w:tr w14:paraId="2C9B1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78FAFAE2">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739D86AC">
            <w:pPr>
              <w:jc w:val="center"/>
              <w:rPr>
                <w:rFonts w:hint="eastAsia" w:ascii="宋体" w:hAnsi="宋体" w:eastAsia="宋体" w:cs="宋体"/>
                <w:i w:val="0"/>
                <w:iCs w:val="0"/>
                <w:color w:val="000000"/>
                <w:sz w:val="18"/>
                <w:szCs w:val="18"/>
                <w:u w:val="none"/>
              </w:rPr>
            </w:pPr>
          </w:p>
        </w:tc>
        <w:tc>
          <w:tcPr>
            <w:tcW w:w="859" w:type="dxa"/>
            <w:vMerge w:val="restart"/>
            <w:tcBorders>
              <w:top w:val="single" w:color="000000" w:sz="4" w:space="0"/>
              <w:left w:val="single" w:color="000000" w:sz="4" w:space="0"/>
              <w:bottom w:val="nil"/>
              <w:right w:val="single" w:color="000000" w:sz="4" w:space="0"/>
            </w:tcBorders>
            <w:shd w:val="clear" w:color="auto" w:fill="auto"/>
            <w:vAlign w:val="center"/>
          </w:tcPr>
          <w:p w14:paraId="287D3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37E72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完成前期报告编制截止时间</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3EEBF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3753A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5D171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4F888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40C24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656AD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303D2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3C2C2885">
            <w:pPr>
              <w:jc w:val="center"/>
              <w:rPr>
                <w:rFonts w:hint="eastAsia" w:ascii="宋体" w:hAnsi="宋体" w:eastAsia="宋体" w:cs="宋体"/>
                <w:i w:val="0"/>
                <w:iCs w:val="0"/>
                <w:color w:val="000000"/>
                <w:sz w:val="18"/>
                <w:szCs w:val="18"/>
                <w:u w:val="none"/>
              </w:rPr>
            </w:pPr>
          </w:p>
        </w:tc>
      </w:tr>
      <w:tr w14:paraId="2B278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7583B9DF">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46DB7A05">
            <w:pPr>
              <w:jc w:val="center"/>
              <w:rPr>
                <w:rFonts w:hint="eastAsia" w:ascii="宋体" w:hAnsi="宋体" w:eastAsia="宋体" w:cs="宋体"/>
                <w:i w:val="0"/>
                <w:iCs w:val="0"/>
                <w:color w:val="000000"/>
                <w:sz w:val="18"/>
                <w:szCs w:val="18"/>
                <w:u w:val="none"/>
              </w:rPr>
            </w:pPr>
          </w:p>
        </w:tc>
        <w:tc>
          <w:tcPr>
            <w:tcW w:w="859" w:type="dxa"/>
            <w:vMerge w:val="continue"/>
            <w:tcBorders>
              <w:top w:val="single" w:color="000000" w:sz="4" w:space="0"/>
              <w:left w:val="single" w:color="000000" w:sz="4" w:space="0"/>
              <w:bottom w:val="nil"/>
              <w:right w:val="single" w:color="000000" w:sz="4" w:space="0"/>
            </w:tcBorders>
            <w:shd w:val="clear" w:color="auto" w:fill="auto"/>
            <w:vAlign w:val="center"/>
          </w:tcPr>
          <w:p w14:paraId="5F67B183">
            <w:pPr>
              <w:jc w:val="center"/>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nil"/>
              <w:right w:val="single" w:color="000000" w:sz="4" w:space="0"/>
            </w:tcBorders>
            <w:shd w:val="clear" w:color="auto" w:fill="auto"/>
            <w:vAlign w:val="center"/>
          </w:tcPr>
          <w:p w14:paraId="32986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完成证件办理时间</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2709B0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40089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6726A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0782C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09AE9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010DB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4DC64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3EBF6653">
            <w:pPr>
              <w:jc w:val="center"/>
              <w:rPr>
                <w:rFonts w:hint="eastAsia" w:ascii="宋体" w:hAnsi="宋体" w:eastAsia="宋体" w:cs="宋体"/>
                <w:i w:val="0"/>
                <w:iCs w:val="0"/>
                <w:color w:val="000000"/>
                <w:sz w:val="18"/>
                <w:szCs w:val="18"/>
                <w:u w:val="none"/>
              </w:rPr>
            </w:pPr>
          </w:p>
        </w:tc>
      </w:tr>
      <w:tr w14:paraId="1B17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4CEA77A0">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306D9710">
            <w:pPr>
              <w:jc w:val="center"/>
              <w:rPr>
                <w:rFonts w:hint="eastAsia" w:ascii="宋体" w:hAnsi="宋体" w:eastAsia="宋体" w:cs="宋体"/>
                <w:i w:val="0"/>
                <w:iCs w:val="0"/>
                <w:color w:val="000000"/>
                <w:sz w:val="18"/>
                <w:szCs w:val="18"/>
                <w:u w:val="none"/>
              </w:rPr>
            </w:pPr>
          </w:p>
        </w:tc>
        <w:tc>
          <w:tcPr>
            <w:tcW w:w="859" w:type="dxa"/>
            <w:vMerge w:val="restart"/>
            <w:tcBorders>
              <w:top w:val="single" w:color="000000" w:sz="4" w:space="0"/>
              <w:left w:val="single" w:color="000000" w:sz="4" w:space="0"/>
              <w:bottom w:val="nil"/>
              <w:right w:val="single" w:color="000000" w:sz="4" w:space="0"/>
            </w:tcBorders>
            <w:shd w:val="clear" w:color="auto" w:fill="auto"/>
            <w:vAlign w:val="center"/>
          </w:tcPr>
          <w:p w14:paraId="4C82A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74CF5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工程前期报告编制</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4CB0B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0A09D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3628B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4083A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309A4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662F5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6D154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25FDD9D1">
            <w:pPr>
              <w:jc w:val="center"/>
              <w:rPr>
                <w:rFonts w:hint="eastAsia" w:ascii="宋体" w:hAnsi="宋体" w:eastAsia="宋体" w:cs="宋体"/>
                <w:i w:val="0"/>
                <w:iCs w:val="0"/>
                <w:color w:val="000000"/>
                <w:sz w:val="18"/>
                <w:szCs w:val="18"/>
                <w:u w:val="none"/>
              </w:rPr>
            </w:pPr>
          </w:p>
        </w:tc>
      </w:tr>
      <w:tr w14:paraId="7A976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3679E33C">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7BA0E40E">
            <w:pPr>
              <w:jc w:val="center"/>
              <w:rPr>
                <w:rFonts w:hint="eastAsia" w:ascii="宋体" w:hAnsi="宋体" w:eastAsia="宋体" w:cs="宋体"/>
                <w:i w:val="0"/>
                <w:iCs w:val="0"/>
                <w:color w:val="000000"/>
                <w:sz w:val="18"/>
                <w:szCs w:val="18"/>
                <w:u w:val="none"/>
              </w:rPr>
            </w:pPr>
          </w:p>
        </w:tc>
        <w:tc>
          <w:tcPr>
            <w:tcW w:w="859" w:type="dxa"/>
            <w:vMerge w:val="continue"/>
            <w:tcBorders>
              <w:top w:val="single" w:color="000000" w:sz="4" w:space="0"/>
              <w:left w:val="single" w:color="000000" w:sz="4" w:space="0"/>
              <w:bottom w:val="nil"/>
              <w:right w:val="single" w:color="000000" w:sz="4" w:space="0"/>
            </w:tcBorders>
            <w:shd w:val="clear" w:color="auto" w:fill="auto"/>
            <w:vAlign w:val="center"/>
          </w:tcPr>
          <w:p w14:paraId="73712697">
            <w:pPr>
              <w:jc w:val="center"/>
              <w:rPr>
                <w:rFonts w:hint="eastAsia" w:ascii="宋体" w:hAnsi="宋体" w:eastAsia="宋体" w:cs="宋体"/>
                <w:i w:val="0"/>
                <w:iCs w:val="0"/>
                <w:color w:val="000000"/>
                <w:sz w:val="18"/>
                <w:szCs w:val="18"/>
                <w:u w:val="none"/>
              </w:rPr>
            </w:pPr>
          </w:p>
        </w:tc>
        <w:tc>
          <w:tcPr>
            <w:tcW w:w="737" w:type="dxa"/>
            <w:tcBorders>
              <w:top w:val="single" w:color="000000" w:sz="4" w:space="0"/>
              <w:left w:val="single" w:color="000000" w:sz="4" w:space="0"/>
              <w:bottom w:val="nil"/>
              <w:right w:val="single" w:color="000000" w:sz="4" w:space="0"/>
            </w:tcBorders>
            <w:shd w:val="clear" w:color="auto" w:fill="auto"/>
            <w:vAlign w:val="center"/>
          </w:tcPr>
          <w:p w14:paraId="22F29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设计费用</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19CFC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1D095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194AC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7D1E2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288CB5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71C42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4C8E2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55F16735">
            <w:pPr>
              <w:jc w:val="center"/>
              <w:rPr>
                <w:rFonts w:hint="eastAsia" w:ascii="宋体" w:hAnsi="宋体" w:eastAsia="宋体" w:cs="宋体"/>
                <w:i w:val="0"/>
                <w:iCs w:val="0"/>
                <w:color w:val="000000"/>
                <w:sz w:val="18"/>
                <w:szCs w:val="18"/>
                <w:u w:val="none"/>
              </w:rPr>
            </w:pPr>
          </w:p>
        </w:tc>
      </w:tr>
      <w:tr w14:paraId="126E9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12182483">
            <w:pPr>
              <w:jc w:val="center"/>
              <w:rPr>
                <w:rFonts w:hint="eastAsia" w:ascii="宋体" w:hAnsi="宋体" w:eastAsia="宋体" w:cs="宋体"/>
                <w:i w:val="0"/>
                <w:iCs w:val="0"/>
                <w:color w:val="000000"/>
                <w:sz w:val="18"/>
                <w:szCs w:val="18"/>
                <w:u w:val="none"/>
              </w:rPr>
            </w:pPr>
          </w:p>
        </w:tc>
        <w:tc>
          <w:tcPr>
            <w:tcW w:w="736" w:type="dxa"/>
            <w:vMerge w:val="restart"/>
            <w:tcBorders>
              <w:top w:val="single" w:color="000000" w:sz="4" w:space="0"/>
              <w:left w:val="single" w:color="000000" w:sz="4" w:space="0"/>
              <w:bottom w:val="nil"/>
              <w:right w:val="single" w:color="000000" w:sz="4" w:space="0"/>
            </w:tcBorders>
            <w:shd w:val="clear" w:color="auto" w:fill="auto"/>
            <w:vAlign w:val="center"/>
          </w:tcPr>
          <w:p w14:paraId="6E4F7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859" w:type="dxa"/>
            <w:tcBorders>
              <w:top w:val="single" w:color="000000" w:sz="4" w:space="0"/>
              <w:left w:val="single" w:color="000000" w:sz="4" w:space="0"/>
              <w:bottom w:val="nil"/>
              <w:right w:val="single" w:color="000000" w:sz="4" w:space="0"/>
            </w:tcBorders>
            <w:shd w:val="clear" w:color="auto" w:fill="auto"/>
            <w:vAlign w:val="center"/>
          </w:tcPr>
          <w:p w14:paraId="5E4AD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2EB0A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推动巴彦淖尔市医疗服务工作健康持续全面发展</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1532E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23168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0B1EB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12234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18033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02CE8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3FC59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5A785581">
            <w:pPr>
              <w:jc w:val="center"/>
              <w:rPr>
                <w:rFonts w:hint="eastAsia" w:ascii="宋体" w:hAnsi="宋体" w:eastAsia="宋体" w:cs="宋体"/>
                <w:i w:val="0"/>
                <w:iCs w:val="0"/>
                <w:color w:val="000000"/>
                <w:sz w:val="18"/>
                <w:szCs w:val="18"/>
                <w:u w:val="none"/>
              </w:rPr>
            </w:pPr>
          </w:p>
        </w:tc>
      </w:tr>
      <w:tr w14:paraId="27EC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7B89FEBC">
            <w:pPr>
              <w:jc w:val="center"/>
              <w:rPr>
                <w:rFonts w:hint="eastAsia" w:ascii="宋体" w:hAnsi="宋体" w:eastAsia="宋体" w:cs="宋体"/>
                <w:i w:val="0"/>
                <w:iCs w:val="0"/>
                <w:color w:val="000000"/>
                <w:sz w:val="18"/>
                <w:szCs w:val="18"/>
                <w:u w:val="none"/>
              </w:rPr>
            </w:pPr>
          </w:p>
        </w:tc>
        <w:tc>
          <w:tcPr>
            <w:tcW w:w="736" w:type="dxa"/>
            <w:vMerge w:val="continue"/>
            <w:tcBorders>
              <w:top w:val="single" w:color="000000" w:sz="4" w:space="0"/>
              <w:left w:val="single" w:color="000000" w:sz="4" w:space="0"/>
              <w:bottom w:val="nil"/>
              <w:right w:val="single" w:color="000000" w:sz="4" w:space="0"/>
            </w:tcBorders>
            <w:shd w:val="clear" w:color="auto" w:fill="auto"/>
            <w:vAlign w:val="center"/>
          </w:tcPr>
          <w:p w14:paraId="2B968980">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nil"/>
              <w:right w:val="single" w:color="000000" w:sz="4" w:space="0"/>
            </w:tcBorders>
            <w:shd w:val="clear" w:color="auto" w:fill="auto"/>
            <w:vAlign w:val="center"/>
          </w:tcPr>
          <w:p w14:paraId="2D85B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1F9B8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长效保障传染病防控能力</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39C11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069FF54C">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nil"/>
              <w:right w:val="single" w:color="000000" w:sz="4" w:space="0"/>
            </w:tcBorders>
            <w:shd w:val="clear" w:color="auto" w:fill="auto"/>
            <w:vAlign w:val="center"/>
          </w:tcPr>
          <w:p w14:paraId="6DB730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5271B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041D85C1">
            <w:pPr>
              <w:jc w:val="center"/>
              <w:rPr>
                <w:rFonts w:hint="eastAsia" w:ascii="宋体" w:hAnsi="宋体" w:eastAsia="宋体" w:cs="宋体"/>
                <w:i w:val="0"/>
                <w:iCs w:val="0"/>
                <w:color w:val="000000"/>
                <w:sz w:val="18"/>
                <w:szCs w:val="18"/>
                <w:u w:val="none"/>
              </w:rPr>
            </w:pPr>
          </w:p>
        </w:tc>
        <w:tc>
          <w:tcPr>
            <w:tcW w:w="832" w:type="dxa"/>
            <w:tcBorders>
              <w:top w:val="single" w:color="000000" w:sz="4" w:space="0"/>
              <w:left w:val="single" w:color="000000" w:sz="4" w:space="0"/>
              <w:bottom w:val="nil"/>
              <w:right w:val="single" w:color="000000" w:sz="4" w:space="0"/>
            </w:tcBorders>
            <w:shd w:val="clear" w:color="auto" w:fill="auto"/>
            <w:vAlign w:val="center"/>
          </w:tcPr>
          <w:p w14:paraId="077DB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20B4F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6873D749">
            <w:pPr>
              <w:jc w:val="center"/>
              <w:rPr>
                <w:rFonts w:hint="eastAsia" w:ascii="宋体" w:hAnsi="宋体" w:eastAsia="宋体" w:cs="宋体"/>
                <w:i w:val="0"/>
                <w:iCs w:val="0"/>
                <w:color w:val="000000"/>
                <w:sz w:val="18"/>
                <w:szCs w:val="18"/>
                <w:u w:val="none"/>
              </w:rPr>
            </w:pPr>
          </w:p>
        </w:tc>
      </w:tr>
      <w:tr w14:paraId="49D17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6" w:type="dxa"/>
            <w:vMerge w:val="continue"/>
            <w:tcBorders>
              <w:top w:val="single" w:color="000000" w:sz="4" w:space="0"/>
              <w:left w:val="single" w:color="000000" w:sz="4" w:space="0"/>
              <w:bottom w:val="nil"/>
              <w:right w:val="single" w:color="000000" w:sz="4" w:space="0"/>
            </w:tcBorders>
            <w:shd w:val="clear" w:color="auto" w:fill="auto"/>
            <w:vAlign w:val="center"/>
          </w:tcPr>
          <w:p w14:paraId="122E1CB3">
            <w:pPr>
              <w:jc w:val="center"/>
              <w:rPr>
                <w:rFonts w:hint="eastAsia" w:ascii="宋体" w:hAnsi="宋体" w:eastAsia="宋体" w:cs="宋体"/>
                <w:i w:val="0"/>
                <w:iCs w:val="0"/>
                <w:color w:val="000000"/>
                <w:sz w:val="18"/>
                <w:szCs w:val="18"/>
                <w:u w:val="none"/>
              </w:rPr>
            </w:pPr>
          </w:p>
        </w:tc>
        <w:tc>
          <w:tcPr>
            <w:tcW w:w="736" w:type="dxa"/>
            <w:tcBorders>
              <w:top w:val="single" w:color="000000" w:sz="4" w:space="0"/>
              <w:left w:val="single" w:color="000000" w:sz="4" w:space="0"/>
              <w:bottom w:val="nil"/>
              <w:right w:val="single" w:color="000000" w:sz="4" w:space="0"/>
            </w:tcBorders>
            <w:shd w:val="clear" w:color="auto" w:fill="auto"/>
            <w:vAlign w:val="center"/>
          </w:tcPr>
          <w:p w14:paraId="778129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859" w:type="dxa"/>
            <w:tcBorders>
              <w:top w:val="single" w:color="000000" w:sz="4" w:space="0"/>
              <w:left w:val="single" w:color="000000" w:sz="4" w:space="0"/>
              <w:bottom w:val="nil"/>
              <w:right w:val="single" w:color="000000" w:sz="4" w:space="0"/>
            </w:tcBorders>
            <w:shd w:val="clear" w:color="auto" w:fill="auto"/>
            <w:vAlign w:val="center"/>
          </w:tcPr>
          <w:p w14:paraId="560ED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737" w:type="dxa"/>
            <w:tcBorders>
              <w:top w:val="single" w:color="000000" w:sz="4" w:space="0"/>
              <w:left w:val="single" w:color="000000" w:sz="4" w:space="0"/>
              <w:bottom w:val="nil"/>
              <w:right w:val="single" w:color="000000" w:sz="4" w:space="0"/>
            </w:tcBorders>
            <w:shd w:val="clear" w:color="auto" w:fill="auto"/>
            <w:vAlign w:val="center"/>
          </w:tcPr>
          <w:p w14:paraId="7974E1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患者及职工满意度</w:t>
            </w:r>
          </w:p>
        </w:tc>
        <w:tc>
          <w:tcPr>
            <w:tcW w:w="845" w:type="dxa"/>
            <w:tcBorders>
              <w:top w:val="single" w:color="000000" w:sz="4" w:space="0"/>
              <w:left w:val="single" w:color="000000" w:sz="4" w:space="0"/>
              <w:bottom w:val="nil"/>
              <w:right w:val="single" w:color="000000" w:sz="4" w:space="0"/>
            </w:tcBorders>
            <w:shd w:val="clear" w:color="auto" w:fill="auto"/>
            <w:vAlign w:val="center"/>
          </w:tcPr>
          <w:p w14:paraId="37B6E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91" w:type="dxa"/>
            <w:tcBorders>
              <w:top w:val="single" w:color="000000" w:sz="4" w:space="0"/>
              <w:left w:val="single" w:color="000000" w:sz="4" w:space="0"/>
              <w:bottom w:val="nil"/>
              <w:right w:val="single" w:color="000000" w:sz="4" w:space="0"/>
            </w:tcBorders>
            <w:shd w:val="clear" w:color="auto" w:fill="auto"/>
            <w:vAlign w:val="center"/>
          </w:tcPr>
          <w:p w14:paraId="6E81A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886" w:type="dxa"/>
            <w:tcBorders>
              <w:top w:val="single" w:color="000000" w:sz="4" w:space="0"/>
              <w:left w:val="single" w:color="000000" w:sz="4" w:space="0"/>
              <w:bottom w:val="nil"/>
              <w:right w:val="single" w:color="000000" w:sz="4" w:space="0"/>
            </w:tcBorders>
            <w:shd w:val="clear" w:color="auto" w:fill="auto"/>
            <w:vAlign w:val="center"/>
          </w:tcPr>
          <w:p w14:paraId="1405A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39ADC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873" w:type="dxa"/>
            <w:tcBorders>
              <w:top w:val="single" w:color="000000" w:sz="4" w:space="0"/>
              <w:left w:val="single" w:color="000000" w:sz="4" w:space="0"/>
              <w:bottom w:val="nil"/>
              <w:right w:val="single" w:color="000000" w:sz="4" w:space="0"/>
            </w:tcBorders>
            <w:shd w:val="clear" w:color="auto" w:fill="auto"/>
            <w:vAlign w:val="center"/>
          </w:tcPr>
          <w:p w14:paraId="0B04C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32" w:type="dxa"/>
            <w:tcBorders>
              <w:top w:val="single" w:color="000000" w:sz="4" w:space="0"/>
              <w:left w:val="single" w:color="000000" w:sz="4" w:space="0"/>
              <w:bottom w:val="nil"/>
              <w:right w:val="single" w:color="000000" w:sz="4" w:space="0"/>
            </w:tcBorders>
            <w:shd w:val="clear" w:color="auto" w:fill="auto"/>
            <w:vAlign w:val="center"/>
          </w:tcPr>
          <w:p w14:paraId="4CF1F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22" w:type="dxa"/>
            <w:tcBorders>
              <w:top w:val="single" w:color="000000" w:sz="4" w:space="0"/>
              <w:left w:val="single" w:color="000000" w:sz="4" w:space="0"/>
              <w:bottom w:val="nil"/>
              <w:right w:val="single" w:color="000000" w:sz="4" w:space="0"/>
            </w:tcBorders>
            <w:shd w:val="clear" w:color="auto" w:fill="auto"/>
            <w:vAlign w:val="center"/>
          </w:tcPr>
          <w:p w14:paraId="1ED34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09" w:type="dxa"/>
            <w:tcBorders>
              <w:top w:val="single" w:color="000000" w:sz="4" w:space="0"/>
              <w:left w:val="single" w:color="000000" w:sz="4" w:space="0"/>
              <w:bottom w:val="nil"/>
              <w:right w:val="single" w:color="000000" w:sz="4" w:space="0"/>
            </w:tcBorders>
            <w:shd w:val="clear" w:color="auto" w:fill="auto"/>
            <w:vAlign w:val="center"/>
          </w:tcPr>
          <w:p w14:paraId="39BD81A0">
            <w:pPr>
              <w:jc w:val="center"/>
              <w:rPr>
                <w:rFonts w:hint="eastAsia" w:ascii="宋体" w:hAnsi="宋体" w:eastAsia="宋体" w:cs="宋体"/>
                <w:i w:val="0"/>
                <w:iCs w:val="0"/>
                <w:color w:val="000000"/>
                <w:sz w:val="18"/>
                <w:szCs w:val="18"/>
                <w:u w:val="none"/>
              </w:rPr>
            </w:pPr>
          </w:p>
        </w:tc>
      </w:tr>
      <w:tr w14:paraId="44734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7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D085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9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8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00E1">
            <w:pPr>
              <w:jc w:val="center"/>
              <w:rPr>
                <w:rFonts w:hint="eastAsia" w:ascii="宋体" w:hAnsi="宋体" w:eastAsia="宋体" w:cs="宋体"/>
                <w:i w:val="0"/>
                <w:iCs w:val="0"/>
                <w:color w:val="000000"/>
                <w:sz w:val="18"/>
                <w:szCs w:val="18"/>
                <w:u w:val="none"/>
              </w:rPr>
            </w:pPr>
          </w:p>
        </w:tc>
      </w:tr>
    </w:tbl>
    <w:p w14:paraId="046A1AB8">
      <w:pPr>
        <w:widowControl/>
        <w:spacing w:before="240" w:after="240"/>
        <w:ind w:firstLine="490"/>
        <w:rPr>
          <w:rFonts w:hint="default" w:ascii="fang_song_gb2312" w:hAnsi="fang_song_gb2312" w:eastAsia="fang_song_gb2312" w:cs="fang_song_gb2312"/>
          <w:kern w:val="0"/>
          <w:sz w:val="27"/>
          <w:szCs w:val="27"/>
        </w:rPr>
      </w:pPr>
    </w:p>
    <w:tbl>
      <w:tblPr>
        <w:tblStyle w:val="18"/>
        <w:tblW w:w="9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0"/>
        <w:gridCol w:w="671"/>
        <w:gridCol w:w="1244"/>
        <w:gridCol w:w="1011"/>
        <w:gridCol w:w="727"/>
        <w:gridCol w:w="727"/>
        <w:gridCol w:w="846"/>
        <w:gridCol w:w="846"/>
        <w:gridCol w:w="740"/>
        <w:gridCol w:w="733"/>
        <w:gridCol w:w="745"/>
        <w:gridCol w:w="670"/>
      </w:tblGrid>
      <w:tr w14:paraId="5E25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atLeast"/>
        </w:trPr>
        <w:tc>
          <w:tcPr>
            <w:tcW w:w="963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8B845E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3B7D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BA1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25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FBD4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传染病医院取暖及维修（护）费</w:t>
            </w:r>
          </w:p>
        </w:tc>
      </w:tr>
      <w:tr w14:paraId="1613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BDC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8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E2A0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DB55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DA73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w:t>
            </w:r>
          </w:p>
        </w:tc>
      </w:tr>
      <w:tr w14:paraId="6FD4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86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BE8D">
            <w:pP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C9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049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52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B3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8D2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DF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C665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41E61">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B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4F6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18.98</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F5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18.98</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A3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E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A56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88.88</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55B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8.89</w:t>
            </w:r>
          </w:p>
        </w:tc>
      </w:tr>
      <w:tr w14:paraId="3888C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D0A1D">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13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17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18.98</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532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18.98</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CF0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FF76">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DD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D268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20BA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9EBB2">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3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9D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E4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B13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E64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ED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055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FA2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50A32">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0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46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B6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E1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403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0B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5DA0">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60FC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51F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5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E69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1D7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5F7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02F04">
            <w:pPr>
              <w:jc w:val="center"/>
              <w:rPr>
                <w:rFonts w:hint="eastAsia" w:ascii="宋体" w:hAnsi="宋体" w:eastAsia="宋体" w:cs="宋体"/>
                <w:i w:val="0"/>
                <w:iCs w:val="0"/>
                <w:color w:val="000000"/>
                <w:sz w:val="18"/>
                <w:szCs w:val="18"/>
                <w:u w:val="none"/>
              </w:rPr>
            </w:pPr>
          </w:p>
        </w:tc>
        <w:tc>
          <w:tcPr>
            <w:tcW w:w="45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85B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保障巴彦淖尔市第二医院患者及职工的正常供暖需求</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D09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有效保障了巴彦淖尔市第二医院患者及职工的正常供暖需求</w:t>
            </w:r>
          </w:p>
        </w:tc>
      </w:tr>
      <w:tr w14:paraId="2120E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B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A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2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9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A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B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5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6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6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F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93B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4E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1EEB7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69E42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77F43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90" w:type="dxa"/>
            <w:vMerge w:val="restart"/>
            <w:tcBorders>
              <w:top w:val="single" w:color="000000" w:sz="4" w:space="0"/>
              <w:left w:val="single" w:color="000000" w:sz="4" w:space="0"/>
              <w:bottom w:val="nil"/>
              <w:right w:val="single" w:color="000000" w:sz="4" w:space="0"/>
            </w:tcBorders>
            <w:shd w:val="clear" w:color="auto" w:fill="auto"/>
            <w:vAlign w:val="center"/>
          </w:tcPr>
          <w:p w14:paraId="31B12A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1C580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取暖面积</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C2AE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0F57F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8F41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7027.92</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71E2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7027.92</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C61F9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平方米</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2209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5934C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7CC50D27">
            <w:pPr>
              <w:jc w:val="center"/>
              <w:rPr>
                <w:rFonts w:hint="eastAsia" w:ascii="宋体" w:hAnsi="宋体" w:eastAsia="宋体" w:cs="宋体"/>
                <w:i w:val="0"/>
                <w:iCs w:val="0"/>
                <w:color w:val="000000"/>
                <w:sz w:val="18"/>
                <w:szCs w:val="18"/>
                <w:u w:val="none"/>
              </w:rPr>
            </w:pPr>
          </w:p>
        </w:tc>
      </w:tr>
      <w:tr w14:paraId="1FB4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5F788F5C">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1A0C34D2">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nil"/>
              <w:right w:val="single" w:color="000000" w:sz="4" w:space="0"/>
            </w:tcBorders>
            <w:shd w:val="clear" w:color="auto" w:fill="auto"/>
            <w:vAlign w:val="center"/>
          </w:tcPr>
          <w:p w14:paraId="0664AD8D">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11393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取暖支出</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687B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6B2E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984C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18.98</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B42F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68F33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B821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A69F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1D8190F3">
            <w:pPr>
              <w:jc w:val="center"/>
              <w:rPr>
                <w:rFonts w:hint="eastAsia" w:ascii="宋体" w:hAnsi="宋体" w:eastAsia="宋体" w:cs="宋体"/>
                <w:i w:val="0"/>
                <w:iCs w:val="0"/>
                <w:color w:val="000000"/>
                <w:sz w:val="18"/>
                <w:szCs w:val="18"/>
                <w:u w:val="none"/>
              </w:rPr>
            </w:pPr>
          </w:p>
        </w:tc>
      </w:tr>
      <w:tr w14:paraId="3DAF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6089D031">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1C47BB23">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nil"/>
              <w:right w:val="single" w:color="000000" w:sz="4" w:space="0"/>
            </w:tcBorders>
            <w:shd w:val="clear" w:color="auto" w:fill="auto"/>
            <w:vAlign w:val="center"/>
          </w:tcPr>
          <w:p w14:paraId="21955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7E868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取暖覆盖率</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042D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4E25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1F0D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8690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A884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A31F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9DD2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42FB09D6">
            <w:pPr>
              <w:jc w:val="center"/>
              <w:rPr>
                <w:rFonts w:hint="eastAsia" w:ascii="宋体" w:hAnsi="宋体" w:eastAsia="宋体" w:cs="宋体"/>
                <w:i w:val="0"/>
                <w:iCs w:val="0"/>
                <w:color w:val="000000"/>
                <w:sz w:val="18"/>
                <w:szCs w:val="18"/>
                <w:u w:val="none"/>
              </w:rPr>
            </w:pPr>
          </w:p>
        </w:tc>
      </w:tr>
      <w:tr w14:paraId="40BCB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3D417A69">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5DBAFDD7">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nil"/>
              <w:right w:val="single" w:color="000000" w:sz="4" w:space="0"/>
            </w:tcBorders>
            <w:shd w:val="clear" w:color="auto" w:fill="auto"/>
            <w:vAlign w:val="center"/>
          </w:tcPr>
          <w:p w14:paraId="65380CCC">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51AAF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取暖温度</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34A0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11E0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7EAE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BED1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D658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6EBA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E9B3F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782F278B">
            <w:pPr>
              <w:jc w:val="center"/>
              <w:rPr>
                <w:rFonts w:hint="eastAsia" w:ascii="宋体" w:hAnsi="宋体" w:eastAsia="宋体" w:cs="宋体"/>
                <w:i w:val="0"/>
                <w:iCs w:val="0"/>
                <w:color w:val="000000"/>
                <w:sz w:val="18"/>
                <w:szCs w:val="18"/>
                <w:u w:val="none"/>
              </w:rPr>
            </w:pPr>
          </w:p>
        </w:tc>
      </w:tr>
      <w:tr w14:paraId="0CCA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0DBBAEE4">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5598D743">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nil"/>
              <w:right w:val="single" w:color="000000" w:sz="4" w:space="0"/>
            </w:tcBorders>
            <w:shd w:val="clear" w:color="auto" w:fill="auto"/>
            <w:vAlign w:val="center"/>
          </w:tcPr>
          <w:p w14:paraId="7A423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74A04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D439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73B2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FBF9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46296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31C8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7764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8C17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7439C178">
            <w:pPr>
              <w:jc w:val="center"/>
              <w:rPr>
                <w:rFonts w:hint="eastAsia" w:ascii="宋体" w:hAnsi="宋体" w:eastAsia="宋体" w:cs="宋体"/>
                <w:i w:val="0"/>
                <w:iCs w:val="0"/>
                <w:color w:val="000000"/>
                <w:sz w:val="18"/>
                <w:szCs w:val="18"/>
                <w:u w:val="none"/>
              </w:rPr>
            </w:pPr>
          </w:p>
        </w:tc>
      </w:tr>
      <w:tr w14:paraId="182F7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7C45F65E">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2BCE74CD">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nil"/>
              <w:right w:val="single" w:color="000000" w:sz="4" w:space="0"/>
            </w:tcBorders>
            <w:shd w:val="clear" w:color="auto" w:fill="auto"/>
            <w:vAlign w:val="center"/>
          </w:tcPr>
          <w:p w14:paraId="4236590E">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344F8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项目执行周期</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6EBBA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A125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5EB4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8FF9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1BFD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44C9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E328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7469720C">
            <w:pPr>
              <w:jc w:val="center"/>
              <w:rPr>
                <w:rFonts w:hint="eastAsia" w:ascii="宋体" w:hAnsi="宋体" w:eastAsia="宋体" w:cs="宋体"/>
                <w:i w:val="0"/>
                <w:iCs w:val="0"/>
                <w:color w:val="000000"/>
                <w:sz w:val="18"/>
                <w:szCs w:val="18"/>
                <w:u w:val="none"/>
              </w:rPr>
            </w:pPr>
          </w:p>
        </w:tc>
      </w:tr>
      <w:tr w14:paraId="02841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7AEE3BA9">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184EA044">
            <w:pPr>
              <w:jc w:val="center"/>
              <w:rPr>
                <w:rFonts w:hint="eastAsia" w:ascii="宋体" w:hAnsi="宋体" w:eastAsia="宋体" w:cs="宋体"/>
                <w:i w:val="0"/>
                <w:iCs w:val="0"/>
                <w:color w:val="000000"/>
                <w:sz w:val="18"/>
                <w:szCs w:val="18"/>
                <w:u w:val="none"/>
              </w:rPr>
            </w:pPr>
          </w:p>
        </w:tc>
        <w:tc>
          <w:tcPr>
            <w:tcW w:w="1290" w:type="dxa"/>
            <w:vMerge w:val="restart"/>
            <w:tcBorders>
              <w:top w:val="single" w:color="000000" w:sz="4" w:space="0"/>
              <w:left w:val="single" w:color="000000" w:sz="4" w:space="0"/>
              <w:bottom w:val="nil"/>
              <w:right w:val="single" w:color="000000" w:sz="4" w:space="0"/>
            </w:tcBorders>
            <w:shd w:val="clear" w:color="auto" w:fill="auto"/>
            <w:vAlign w:val="center"/>
          </w:tcPr>
          <w:p w14:paraId="3B034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04725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患者及职工取暖成本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1C76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CC1F6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7E4F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C0EE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8.435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72DD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C3F8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3F0D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3654F354">
            <w:pPr>
              <w:jc w:val="center"/>
              <w:rPr>
                <w:rFonts w:hint="eastAsia" w:ascii="宋体" w:hAnsi="宋体" w:eastAsia="宋体" w:cs="宋体"/>
                <w:i w:val="0"/>
                <w:iCs w:val="0"/>
                <w:color w:val="000000"/>
                <w:sz w:val="18"/>
                <w:szCs w:val="18"/>
                <w:u w:val="none"/>
              </w:rPr>
            </w:pPr>
          </w:p>
        </w:tc>
      </w:tr>
      <w:tr w14:paraId="01E61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32F25BEC">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0656CF6C">
            <w:pPr>
              <w:jc w:val="center"/>
              <w:rPr>
                <w:rFonts w:hint="eastAsia" w:ascii="宋体" w:hAnsi="宋体" w:eastAsia="宋体" w:cs="宋体"/>
                <w:i w:val="0"/>
                <w:iCs w:val="0"/>
                <w:color w:val="000000"/>
                <w:sz w:val="18"/>
                <w:szCs w:val="18"/>
                <w:u w:val="none"/>
              </w:rPr>
            </w:pPr>
          </w:p>
        </w:tc>
        <w:tc>
          <w:tcPr>
            <w:tcW w:w="1290" w:type="dxa"/>
            <w:vMerge w:val="continue"/>
            <w:tcBorders>
              <w:top w:val="single" w:color="000000" w:sz="4" w:space="0"/>
              <w:left w:val="single" w:color="000000" w:sz="4" w:space="0"/>
              <w:bottom w:val="nil"/>
              <w:right w:val="single" w:color="000000" w:sz="4" w:space="0"/>
            </w:tcBorders>
            <w:shd w:val="clear" w:color="auto" w:fill="auto"/>
            <w:vAlign w:val="center"/>
          </w:tcPr>
          <w:p w14:paraId="6F24DC4D">
            <w:pPr>
              <w:jc w:val="center"/>
              <w:rPr>
                <w:rFonts w:hint="eastAsia" w:ascii="宋体" w:hAnsi="宋体" w:eastAsia="宋体" w:cs="宋体"/>
                <w:i w:val="0"/>
                <w:iCs w:val="0"/>
                <w:color w:val="000000"/>
                <w:sz w:val="18"/>
                <w:szCs w:val="18"/>
                <w:u w:val="none"/>
              </w:rPr>
            </w:pP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566C8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职工取暖成本</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8B37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9A51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0472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9.49</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3295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8.435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FB80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68B2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1D07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39D7AD22">
            <w:pPr>
              <w:jc w:val="center"/>
              <w:rPr>
                <w:rFonts w:hint="eastAsia" w:ascii="宋体" w:hAnsi="宋体" w:eastAsia="宋体" w:cs="宋体"/>
                <w:i w:val="0"/>
                <w:iCs w:val="0"/>
                <w:color w:val="000000"/>
                <w:sz w:val="18"/>
                <w:szCs w:val="18"/>
                <w:u w:val="none"/>
              </w:rPr>
            </w:pPr>
          </w:p>
        </w:tc>
      </w:tr>
      <w:tr w14:paraId="080C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4F1B1DBC">
            <w:pPr>
              <w:jc w:val="center"/>
              <w:rPr>
                <w:rFonts w:hint="eastAsia" w:ascii="宋体" w:hAnsi="宋体" w:eastAsia="宋体" w:cs="宋体"/>
                <w:i w:val="0"/>
                <w:iCs w:val="0"/>
                <w:color w:val="000000"/>
                <w:sz w:val="18"/>
                <w:szCs w:val="18"/>
                <w:u w:val="none"/>
              </w:rPr>
            </w:pPr>
          </w:p>
        </w:tc>
        <w:tc>
          <w:tcPr>
            <w:tcW w:w="690" w:type="dxa"/>
            <w:vMerge w:val="restart"/>
            <w:tcBorders>
              <w:top w:val="single" w:color="000000" w:sz="4" w:space="0"/>
              <w:left w:val="single" w:color="000000" w:sz="4" w:space="0"/>
              <w:bottom w:val="nil"/>
              <w:right w:val="single" w:color="000000" w:sz="4" w:space="0"/>
            </w:tcBorders>
            <w:shd w:val="clear" w:color="auto" w:fill="auto"/>
            <w:vAlign w:val="center"/>
          </w:tcPr>
          <w:p w14:paraId="0692D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90" w:type="dxa"/>
            <w:tcBorders>
              <w:top w:val="single" w:color="000000" w:sz="4" w:space="0"/>
              <w:left w:val="single" w:color="000000" w:sz="4" w:space="0"/>
              <w:bottom w:val="nil"/>
              <w:right w:val="single" w:color="000000" w:sz="4" w:space="0"/>
            </w:tcBorders>
            <w:shd w:val="clear" w:color="auto" w:fill="auto"/>
            <w:vAlign w:val="center"/>
          </w:tcPr>
          <w:p w14:paraId="0848D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22258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医院患者和职工取暖需求</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1C35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2D642CE">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46B9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E930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5334940">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DFCD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45B7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0731A703">
            <w:pPr>
              <w:jc w:val="center"/>
              <w:rPr>
                <w:rFonts w:hint="eastAsia" w:ascii="宋体" w:hAnsi="宋体" w:eastAsia="宋体" w:cs="宋体"/>
                <w:i w:val="0"/>
                <w:iCs w:val="0"/>
                <w:color w:val="000000"/>
                <w:sz w:val="18"/>
                <w:szCs w:val="18"/>
                <w:u w:val="none"/>
              </w:rPr>
            </w:pPr>
          </w:p>
        </w:tc>
      </w:tr>
      <w:tr w14:paraId="4AFA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074CBCC4">
            <w:pPr>
              <w:jc w:val="center"/>
              <w:rPr>
                <w:rFonts w:hint="eastAsia" w:ascii="宋体" w:hAnsi="宋体" w:eastAsia="宋体" w:cs="宋体"/>
                <w:i w:val="0"/>
                <w:iCs w:val="0"/>
                <w:color w:val="000000"/>
                <w:sz w:val="18"/>
                <w:szCs w:val="18"/>
                <w:u w:val="none"/>
              </w:rPr>
            </w:pPr>
          </w:p>
        </w:tc>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03441A29">
            <w:pPr>
              <w:jc w:val="center"/>
              <w:rPr>
                <w:rFonts w:hint="eastAsia" w:ascii="宋体" w:hAnsi="宋体" w:eastAsia="宋体" w:cs="宋体"/>
                <w:i w:val="0"/>
                <w:iCs w:val="0"/>
                <w:color w:val="000000"/>
                <w:sz w:val="18"/>
                <w:szCs w:val="18"/>
                <w:u w:val="none"/>
              </w:rPr>
            </w:pPr>
          </w:p>
        </w:tc>
        <w:tc>
          <w:tcPr>
            <w:tcW w:w="1290" w:type="dxa"/>
            <w:tcBorders>
              <w:top w:val="single" w:color="000000" w:sz="4" w:space="0"/>
              <w:left w:val="single" w:color="000000" w:sz="4" w:space="0"/>
              <w:bottom w:val="nil"/>
              <w:right w:val="single" w:color="000000" w:sz="4" w:space="0"/>
            </w:tcBorders>
            <w:shd w:val="clear" w:color="auto" w:fill="auto"/>
            <w:vAlign w:val="center"/>
          </w:tcPr>
          <w:p w14:paraId="1F194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73A7D2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为单位正常运转提供保障</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08817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A57CAF5">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29C2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17DC3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FB742BF">
            <w:pPr>
              <w:jc w:val="center"/>
              <w:rPr>
                <w:rFonts w:hint="eastAsia" w:ascii="宋体" w:hAnsi="宋体" w:eastAsia="宋体" w:cs="宋体"/>
                <w:i w:val="0"/>
                <w:iCs w:val="0"/>
                <w:color w:val="000000"/>
                <w:sz w:val="18"/>
                <w:szCs w:val="18"/>
                <w:u w:val="none"/>
              </w:rPr>
            </w:pP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E277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4AA48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1750A0F3">
            <w:pPr>
              <w:jc w:val="center"/>
              <w:rPr>
                <w:rFonts w:hint="eastAsia" w:ascii="宋体" w:hAnsi="宋体" w:eastAsia="宋体" w:cs="宋体"/>
                <w:i w:val="0"/>
                <w:iCs w:val="0"/>
                <w:color w:val="000000"/>
                <w:sz w:val="18"/>
                <w:szCs w:val="18"/>
                <w:u w:val="none"/>
              </w:rPr>
            </w:pPr>
          </w:p>
        </w:tc>
      </w:tr>
      <w:tr w14:paraId="7ED2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90" w:type="dxa"/>
            <w:vMerge w:val="continue"/>
            <w:tcBorders>
              <w:top w:val="single" w:color="000000" w:sz="4" w:space="0"/>
              <w:left w:val="single" w:color="000000" w:sz="4" w:space="0"/>
              <w:bottom w:val="nil"/>
              <w:right w:val="single" w:color="000000" w:sz="4" w:space="0"/>
            </w:tcBorders>
            <w:shd w:val="clear" w:color="auto" w:fill="auto"/>
            <w:vAlign w:val="center"/>
          </w:tcPr>
          <w:p w14:paraId="7BD14BF2">
            <w:pPr>
              <w:jc w:val="center"/>
              <w:rPr>
                <w:rFonts w:hint="eastAsia" w:ascii="宋体" w:hAnsi="宋体" w:eastAsia="宋体" w:cs="宋体"/>
                <w:i w:val="0"/>
                <w:iCs w:val="0"/>
                <w:color w:val="000000"/>
                <w:sz w:val="18"/>
                <w:szCs w:val="18"/>
                <w:u w:val="none"/>
              </w:rPr>
            </w:pP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87E1B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90" w:type="dxa"/>
            <w:tcBorders>
              <w:top w:val="single" w:color="000000" w:sz="4" w:space="0"/>
              <w:left w:val="single" w:color="000000" w:sz="4" w:space="0"/>
              <w:bottom w:val="nil"/>
              <w:right w:val="single" w:color="000000" w:sz="4" w:space="0"/>
            </w:tcBorders>
            <w:shd w:val="clear" w:color="auto" w:fill="auto"/>
            <w:vAlign w:val="center"/>
          </w:tcPr>
          <w:p w14:paraId="42E62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1035" w:type="dxa"/>
            <w:tcBorders>
              <w:top w:val="single" w:color="000000" w:sz="4" w:space="0"/>
              <w:left w:val="single" w:color="000000" w:sz="4" w:space="0"/>
              <w:bottom w:val="nil"/>
              <w:right w:val="single" w:color="000000" w:sz="4" w:space="0"/>
            </w:tcBorders>
            <w:shd w:val="clear" w:color="auto" w:fill="auto"/>
            <w:vAlign w:val="center"/>
          </w:tcPr>
          <w:p w14:paraId="4A528E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患者和职工满意度</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5E71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6D8223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58498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45C01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2FD21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323CD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50" w:type="dxa"/>
            <w:tcBorders>
              <w:top w:val="single" w:color="000000" w:sz="4" w:space="0"/>
              <w:left w:val="single" w:color="000000" w:sz="4" w:space="0"/>
              <w:bottom w:val="nil"/>
              <w:right w:val="single" w:color="000000" w:sz="4" w:space="0"/>
            </w:tcBorders>
            <w:shd w:val="clear" w:color="auto" w:fill="auto"/>
            <w:vAlign w:val="center"/>
          </w:tcPr>
          <w:p w14:paraId="7E00B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75" w:type="dxa"/>
            <w:tcBorders>
              <w:top w:val="single" w:color="000000" w:sz="4" w:space="0"/>
              <w:left w:val="single" w:color="000000" w:sz="4" w:space="0"/>
              <w:bottom w:val="nil"/>
              <w:right w:val="single" w:color="000000" w:sz="4" w:space="0"/>
            </w:tcBorders>
            <w:shd w:val="clear" w:color="auto" w:fill="auto"/>
            <w:vAlign w:val="center"/>
          </w:tcPr>
          <w:p w14:paraId="219AAA4C">
            <w:pPr>
              <w:jc w:val="center"/>
              <w:rPr>
                <w:rFonts w:hint="eastAsia" w:ascii="宋体" w:hAnsi="宋体" w:eastAsia="宋体" w:cs="宋体"/>
                <w:i w:val="0"/>
                <w:iCs w:val="0"/>
                <w:color w:val="000000"/>
                <w:sz w:val="18"/>
                <w:szCs w:val="18"/>
                <w:u w:val="none"/>
              </w:rPr>
            </w:pPr>
          </w:p>
        </w:tc>
      </w:tr>
      <w:tr w14:paraId="4A5D0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4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815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4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6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92.94</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40AA">
            <w:pPr>
              <w:jc w:val="center"/>
              <w:rPr>
                <w:rFonts w:hint="eastAsia" w:ascii="宋体" w:hAnsi="宋体" w:eastAsia="宋体" w:cs="宋体"/>
                <w:i w:val="0"/>
                <w:iCs w:val="0"/>
                <w:color w:val="000000"/>
                <w:sz w:val="18"/>
                <w:szCs w:val="18"/>
                <w:u w:val="none"/>
              </w:rPr>
            </w:pPr>
          </w:p>
        </w:tc>
      </w:tr>
    </w:tbl>
    <w:p w14:paraId="5D7EAAA6">
      <w:pPr>
        <w:widowControl/>
        <w:spacing w:before="240" w:after="240"/>
        <w:ind w:firstLine="490"/>
        <w:rPr>
          <w:rFonts w:hint="default" w:ascii="fang_song_gb2312" w:hAnsi="fang_song_gb2312" w:eastAsia="fang_song_gb2312" w:cs="fang_song_gb2312"/>
          <w:kern w:val="0"/>
          <w:sz w:val="27"/>
          <w:szCs w:val="27"/>
        </w:rPr>
      </w:pPr>
    </w:p>
    <w:tbl>
      <w:tblPr>
        <w:tblStyle w:val="18"/>
        <w:tblW w:w="962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4"/>
        <w:gridCol w:w="355"/>
        <w:gridCol w:w="1241"/>
        <w:gridCol w:w="913"/>
        <w:gridCol w:w="1009"/>
        <w:gridCol w:w="817"/>
        <w:gridCol w:w="1013"/>
        <w:gridCol w:w="748"/>
        <w:gridCol w:w="954"/>
        <w:gridCol w:w="628"/>
        <w:gridCol w:w="559"/>
        <w:gridCol w:w="613"/>
      </w:tblGrid>
      <w:tr w14:paraId="5F4A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62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F23FD9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0B829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7D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84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5EC2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耐多药肺结核患者免费治疗经费</w:t>
            </w:r>
          </w:p>
        </w:tc>
      </w:tr>
      <w:tr w14:paraId="1315A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1B1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9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131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7FF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75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7134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w:t>
            </w:r>
          </w:p>
        </w:tc>
      </w:tr>
      <w:tr w14:paraId="3976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0A6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9824">
            <w:pP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0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06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15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2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9F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9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83E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F5CB1">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2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6E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C0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C01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E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2F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F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06C7B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63FFB">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8E1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20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B08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A20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A48E">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DA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71D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13A0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E4577">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C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000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3D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F36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4305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A0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EC3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361B2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21C5">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D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E2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82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9E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53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3BB2">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BA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6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5CD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DD45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2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91D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9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069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5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D8F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1770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12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311DB">
            <w:pPr>
              <w:jc w:val="center"/>
              <w:rPr>
                <w:rFonts w:hint="eastAsia" w:ascii="宋体" w:hAnsi="宋体" w:eastAsia="宋体" w:cs="宋体"/>
                <w:i w:val="0"/>
                <w:iCs w:val="0"/>
                <w:color w:val="000000"/>
                <w:sz w:val="18"/>
                <w:szCs w:val="18"/>
                <w:u w:val="none"/>
              </w:rPr>
            </w:pPr>
          </w:p>
        </w:tc>
        <w:tc>
          <w:tcPr>
            <w:tcW w:w="499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8E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加强结核病耐多药治疗强度，提高社会大众健康素养，提高耐多药患者纳入治疗率和成功治疗率</w:t>
            </w:r>
          </w:p>
        </w:tc>
        <w:tc>
          <w:tcPr>
            <w:tcW w:w="350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B45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完成了52例耐药可疑者筛查、103例结核病患者分子检测；耐药可疑者筛查率97.8%，结核病患者分子检测率96.2%。</w:t>
            </w:r>
          </w:p>
        </w:tc>
      </w:tr>
      <w:tr w14:paraId="3A5C6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2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5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3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A7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F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2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D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F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5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08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D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B3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5C53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restart"/>
            <w:tcBorders>
              <w:top w:val="single" w:color="000000" w:sz="4" w:space="0"/>
              <w:left w:val="single" w:color="000000" w:sz="4" w:space="0"/>
              <w:bottom w:val="nil"/>
              <w:right w:val="single" w:color="000000" w:sz="4" w:space="0"/>
            </w:tcBorders>
            <w:shd w:val="clear" w:color="auto" w:fill="auto"/>
            <w:vAlign w:val="center"/>
          </w:tcPr>
          <w:p w14:paraId="7E95B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355" w:type="dxa"/>
            <w:vMerge w:val="restart"/>
            <w:tcBorders>
              <w:top w:val="single" w:color="000000" w:sz="4" w:space="0"/>
              <w:left w:val="single" w:color="000000" w:sz="4" w:space="0"/>
              <w:bottom w:val="nil"/>
              <w:right w:val="single" w:color="000000" w:sz="4" w:space="0"/>
            </w:tcBorders>
            <w:shd w:val="clear" w:color="auto" w:fill="auto"/>
            <w:vAlign w:val="center"/>
          </w:tcPr>
          <w:p w14:paraId="79AB7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371EC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76521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治疗耐多药结核病患者数量</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320C3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79D6F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577BB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25C91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280074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163D3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2E73D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23DB46D8">
            <w:pPr>
              <w:jc w:val="center"/>
              <w:rPr>
                <w:rFonts w:hint="eastAsia" w:ascii="宋体" w:hAnsi="宋体" w:eastAsia="宋体" w:cs="宋体"/>
                <w:i w:val="0"/>
                <w:iCs w:val="0"/>
                <w:color w:val="000000"/>
                <w:sz w:val="18"/>
                <w:szCs w:val="18"/>
                <w:u w:val="none"/>
              </w:rPr>
            </w:pPr>
          </w:p>
        </w:tc>
      </w:tr>
      <w:tr w14:paraId="0C472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5FC7822C">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05E9483E">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6F9A99C0">
            <w:pPr>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nil"/>
              <w:right w:val="single" w:color="000000" w:sz="4" w:space="0"/>
            </w:tcBorders>
            <w:shd w:val="clear" w:color="auto" w:fill="auto"/>
            <w:vAlign w:val="center"/>
          </w:tcPr>
          <w:p w14:paraId="3D547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成功治疗耐多药患者数</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6C67A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2D074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07D3E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2595E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402154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例</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36E17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49F2A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26800606">
            <w:pPr>
              <w:jc w:val="center"/>
              <w:rPr>
                <w:rFonts w:hint="eastAsia" w:ascii="宋体" w:hAnsi="宋体" w:eastAsia="宋体" w:cs="宋体"/>
                <w:i w:val="0"/>
                <w:iCs w:val="0"/>
                <w:color w:val="000000"/>
                <w:sz w:val="18"/>
                <w:szCs w:val="18"/>
                <w:u w:val="none"/>
              </w:rPr>
            </w:pPr>
          </w:p>
        </w:tc>
      </w:tr>
      <w:tr w14:paraId="033E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1415E677">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4CC043FF">
            <w:pPr>
              <w:jc w:val="center"/>
              <w:rPr>
                <w:rFonts w:hint="eastAsia" w:ascii="宋体" w:hAnsi="宋体" w:eastAsia="宋体" w:cs="宋体"/>
                <w:i w:val="0"/>
                <w:iCs w:val="0"/>
                <w:color w:val="000000"/>
                <w:sz w:val="18"/>
                <w:szCs w:val="18"/>
                <w:u w:val="none"/>
              </w:rPr>
            </w:pP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2751B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28F3E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纳入治疗率</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7346E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032E83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58BDDF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3FA6B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02599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34DC2E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3CBD3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60336CD5">
            <w:pPr>
              <w:jc w:val="center"/>
              <w:rPr>
                <w:rFonts w:hint="eastAsia" w:ascii="宋体" w:hAnsi="宋体" w:eastAsia="宋体" w:cs="宋体"/>
                <w:i w:val="0"/>
                <w:iCs w:val="0"/>
                <w:color w:val="000000"/>
                <w:sz w:val="18"/>
                <w:szCs w:val="18"/>
                <w:u w:val="none"/>
              </w:rPr>
            </w:pPr>
          </w:p>
        </w:tc>
      </w:tr>
      <w:tr w14:paraId="44DE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2C33EFA7">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61A41C97">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63A685AB">
            <w:pPr>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nil"/>
              <w:right w:val="single" w:color="000000" w:sz="4" w:space="0"/>
            </w:tcBorders>
            <w:shd w:val="clear" w:color="auto" w:fill="auto"/>
            <w:vAlign w:val="center"/>
          </w:tcPr>
          <w:p w14:paraId="2E8DB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成功治疗率</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290B3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32B9D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210DB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3BBE6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1438F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50E9C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2F07A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3D2EF36B">
            <w:pPr>
              <w:jc w:val="center"/>
              <w:rPr>
                <w:rFonts w:hint="eastAsia" w:ascii="宋体" w:hAnsi="宋体" w:eastAsia="宋体" w:cs="宋体"/>
                <w:i w:val="0"/>
                <w:iCs w:val="0"/>
                <w:color w:val="000000"/>
                <w:sz w:val="18"/>
                <w:szCs w:val="18"/>
                <w:u w:val="none"/>
              </w:rPr>
            </w:pPr>
          </w:p>
        </w:tc>
      </w:tr>
      <w:tr w14:paraId="71AA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0686569D">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395B2B40">
            <w:pPr>
              <w:jc w:val="center"/>
              <w:rPr>
                <w:rFonts w:hint="eastAsia" w:ascii="宋体" w:hAnsi="宋体" w:eastAsia="宋体" w:cs="宋体"/>
                <w:i w:val="0"/>
                <w:iCs w:val="0"/>
                <w:color w:val="000000"/>
                <w:sz w:val="18"/>
                <w:szCs w:val="18"/>
                <w:u w:val="none"/>
              </w:rPr>
            </w:pP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292BC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64A21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治疗周期</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0E48E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1628B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778D8C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1FA3D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54FA5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66E0B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1F11B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5356E88E">
            <w:pPr>
              <w:jc w:val="center"/>
              <w:rPr>
                <w:rFonts w:hint="eastAsia" w:ascii="宋体" w:hAnsi="宋体" w:eastAsia="宋体" w:cs="宋体"/>
                <w:i w:val="0"/>
                <w:iCs w:val="0"/>
                <w:color w:val="000000"/>
                <w:sz w:val="18"/>
                <w:szCs w:val="18"/>
                <w:u w:val="none"/>
              </w:rPr>
            </w:pPr>
          </w:p>
        </w:tc>
      </w:tr>
      <w:tr w14:paraId="667C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7C8FD4BB">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721D3A7B">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146C8B79">
            <w:pPr>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nil"/>
              <w:right w:val="single" w:color="000000" w:sz="4" w:space="0"/>
            </w:tcBorders>
            <w:shd w:val="clear" w:color="auto" w:fill="auto"/>
            <w:vAlign w:val="center"/>
          </w:tcPr>
          <w:p w14:paraId="53CC9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管理周期</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789E9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5E614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2AD29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676DA8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348F3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月</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7CBD0A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71DF9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63142A37">
            <w:pPr>
              <w:jc w:val="center"/>
              <w:rPr>
                <w:rFonts w:hint="eastAsia" w:ascii="宋体" w:hAnsi="宋体" w:eastAsia="宋体" w:cs="宋体"/>
                <w:i w:val="0"/>
                <w:iCs w:val="0"/>
                <w:color w:val="000000"/>
                <w:sz w:val="18"/>
                <w:szCs w:val="18"/>
                <w:u w:val="none"/>
              </w:rPr>
            </w:pPr>
          </w:p>
        </w:tc>
      </w:tr>
      <w:tr w14:paraId="30AD9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45EA7885">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0768F8BB">
            <w:pPr>
              <w:jc w:val="center"/>
              <w:rPr>
                <w:rFonts w:hint="eastAsia" w:ascii="宋体" w:hAnsi="宋体" w:eastAsia="宋体" w:cs="宋体"/>
                <w:i w:val="0"/>
                <w:iCs w:val="0"/>
                <w:color w:val="000000"/>
                <w:sz w:val="18"/>
                <w:szCs w:val="18"/>
                <w:u w:val="none"/>
              </w:rPr>
            </w:pP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13DC1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43259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每例耐多药患者检验费用</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2E7B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64842E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57992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1C8641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7F537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46D5A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3B4DB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32737D39">
            <w:pPr>
              <w:jc w:val="center"/>
              <w:rPr>
                <w:rFonts w:hint="eastAsia" w:ascii="宋体" w:hAnsi="宋体" w:eastAsia="宋体" w:cs="宋体"/>
                <w:i w:val="0"/>
                <w:iCs w:val="0"/>
                <w:color w:val="000000"/>
                <w:sz w:val="18"/>
                <w:szCs w:val="18"/>
                <w:u w:val="none"/>
              </w:rPr>
            </w:pPr>
          </w:p>
        </w:tc>
      </w:tr>
      <w:tr w14:paraId="4E487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4C0AB62C">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3B9E30CD">
            <w:pPr>
              <w:jc w:val="center"/>
              <w:rPr>
                <w:rFonts w:hint="eastAsia" w:ascii="宋体" w:hAnsi="宋体" w:eastAsia="宋体" w:cs="宋体"/>
                <w:i w:val="0"/>
                <w:iCs w:val="0"/>
                <w:color w:val="000000"/>
                <w:sz w:val="18"/>
                <w:szCs w:val="18"/>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13980B9E">
            <w:pPr>
              <w:jc w:val="center"/>
              <w:rPr>
                <w:rFonts w:hint="eastAsia" w:ascii="宋体" w:hAnsi="宋体" w:eastAsia="宋体" w:cs="宋体"/>
                <w:i w:val="0"/>
                <w:iCs w:val="0"/>
                <w:color w:val="000000"/>
                <w:sz w:val="18"/>
                <w:szCs w:val="18"/>
                <w:u w:val="none"/>
              </w:rPr>
            </w:pPr>
          </w:p>
        </w:tc>
        <w:tc>
          <w:tcPr>
            <w:tcW w:w="913" w:type="dxa"/>
            <w:tcBorders>
              <w:top w:val="single" w:color="000000" w:sz="4" w:space="0"/>
              <w:left w:val="single" w:color="000000" w:sz="4" w:space="0"/>
              <w:bottom w:val="nil"/>
              <w:right w:val="single" w:color="000000" w:sz="4" w:space="0"/>
            </w:tcBorders>
            <w:shd w:val="clear" w:color="auto" w:fill="auto"/>
            <w:vAlign w:val="center"/>
          </w:tcPr>
          <w:p w14:paraId="1EB14F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每例耐多药患者检查费用</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32804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3FEA8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3DDDE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1DB0F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6545E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2E49B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5EDC7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56FBEF9C">
            <w:pPr>
              <w:jc w:val="center"/>
              <w:rPr>
                <w:rFonts w:hint="eastAsia" w:ascii="宋体" w:hAnsi="宋体" w:eastAsia="宋体" w:cs="宋体"/>
                <w:i w:val="0"/>
                <w:iCs w:val="0"/>
                <w:color w:val="000000"/>
                <w:sz w:val="18"/>
                <w:szCs w:val="18"/>
                <w:u w:val="none"/>
              </w:rPr>
            </w:pPr>
          </w:p>
        </w:tc>
      </w:tr>
      <w:tr w14:paraId="2F86F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1DB5C99D">
            <w:pPr>
              <w:jc w:val="center"/>
              <w:rPr>
                <w:rFonts w:hint="eastAsia" w:ascii="宋体" w:hAnsi="宋体" w:eastAsia="宋体" w:cs="宋体"/>
                <w:i w:val="0"/>
                <w:iCs w:val="0"/>
                <w:color w:val="000000"/>
                <w:sz w:val="18"/>
                <w:szCs w:val="18"/>
                <w:u w:val="none"/>
              </w:rPr>
            </w:pPr>
          </w:p>
        </w:tc>
        <w:tc>
          <w:tcPr>
            <w:tcW w:w="355" w:type="dxa"/>
            <w:vMerge w:val="restart"/>
            <w:tcBorders>
              <w:top w:val="single" w:color="000000" w:sz="4" w:space="0"/>
              <w:left w:val="single" w:color="000000" w:sz="4" w:space="0"/>
              <w:bottom w:val="nil"/>
              <w:right w:val="single" w:color="000000" w:sz="4" w:space="0"/>
            </w:tcBorders>
            <w:shd w:val="clear" w:color="auto" w:fill="auto"/>
            <w:vAlign w:val="center"/>
          </w:tcPr>
          <w:p w14:paraId="2CBFE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41" w:type="dxa"/>
            <w:tcBorders>
              <w:top w:val="single" w:color="000000" w:sz="4" w:space="0"/>
              <w:left w:val="single" w:color="000000" w:sz="4" w:space="0"/>
              <w:bottom w:val="nil"/>
              <w:right w:val="single" w:color="000000" w:sz="4" w:space="0"/>
            </w:tcBorders>
            <w:shd w:val="clear" w:color="auto" w:fill="auto"/>
            <w:vAlign w:val="center"/>
          </w:tcPr>
          <w:p w14:paraId="4166A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1DFE4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提高耐多药结核病患者的纳入治疗率</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6C5BB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63E81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2F6DC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69C31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18A95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6A7AF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5ECCC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500B27E5">
            <w:pPr>
              <w:jc w:val="center"/>
              <w:rPr>
                <w:rFonts w:hint="eastAsia" w:ascii="宋体" w:hAnsi="宋体" w:eastAsia="宋体" w:cs="宋体"/>
                <w:i w:val="0"/>
                <w:iCs w:val="0"/>
                <w:color w:val="000000"/>
                <w:sz w:val="18"/>
                <w:szCs w:val="18"/>
                <w:u w:val="none"/>
              </w:rPr>
            </w:pPr>
          </w:p>
        </w:tc>
      </w:tr>
      <w:tr w14:paraId="7E8E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18A34915">
            <w:pPr>
              <w:jc w:val="center"/>
              <w:rPr>
                <w:rFonts w:hint="eastAsia" w:ascii="宋体" w:hAnsi="宋体" w:eastAsia="宋体" w:cs="宋体"/>
                <w:i w:val="0"/>
                <w:iCs w:val="0"/>
                <w:color w:val="000000"/>
                <w:sz w:val="18"/>
                <w:szCs w:val="18"/>
                <w:u w:val="none"/>
              </w:rPr>
            </w:pPr>
          </w:p>
        </w:tc>
        <w:tc>
          <w:tcPr>
            <w:tcW w:w="355" w:type="dxa"/>
            <w:vMerge w:val="continue"/>
            <w:tcBorders>
              <w:top w:val="single" w:color="000000" w:sz="4" w:space="0"/>
              <w:left w:val="single" w:color="000000" w:sz="4" w:space="0"/>
              <w:bottom w:val="nil"/>
              <w:right w:val="single" w:color="000000" w:sz="4" w:space="0"/>
            </w:tcBorders>
            <w:shd w:val="clear" w:color="auto" w:fill="auto"/>
            <w:vAlign w:val="center"/>
          </w:tcPr>
          <w:p w14:paraId="21A37F2F">
            <w:pPr>
              <w:jc w:val="center"/>
              <w:rPr>
                <w:rFonts w:hint="eastAsia" w:ascii="宋体" w:hAnsi="宋体" w:eastAsia="宋体" w:cs="宋体"/>
                <w:i w:val="0"/>
                <w:iCs w:val="0"/>
                <w:color w:val="000000"/>
                <w:sz w:val="18"/>
                <w:szCs w:val="18"/>
                <w:u w:val="none"/>
              </w:rPr>
            </w:pPr>
          </w:p>
        </w:tc>
        <w:tc>
          <w:tcPr>
            <w:tcW w:w="1241" w:type="dxa"/>
            <w:tcBorders>
              <w:top w:val="single" w:color="000000" w:sz="4" w:space="0"/>
              <w:left w:val="single" w:color="000000" w:sz="4" w:space="0"/>
              <w:bottom w:val="nil"/>
              <w:right w:val="single" w:color="000000" w:sz="4" w:space="0"/>
            </w:tcBorders>
            <w:shd w:val="clear" w:color="auto" w:fill="auto"/>
            <w:vAlign w:val="center"/>
          </w:tcPr>
          <w:p w14:paraId="50A75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77E7B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提高社会大众健康素养</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79FBE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4140C288">
            <w:pPr>
              <w:jc w:val="center"/>
              <w:rPr>
                <w:rFonts w:hint="eastAsia" w:ascii="宋体" w:hAnsi="宋体" w:eastAsia="宋体" w:cs="宋体"/>
                <w:i w:val="0"/>
                <w:iCs w:val="0"/>
                <w:color w:val="000000"/>
                <w:sz w:val="18"/>
                <w:szCs w:val="18"/>
                <w:u w:val="none"/>
              </w:rPr>
            </w:pP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49DED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1DB3EC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良</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1BC6DC22">
            <w:pPr>
              <w:jc w:val="center"/>
              <w:rPr>
                <w:rFonts w:hint="eastAsia" w:ascii="宋体" w:hAnsi="宋体" w:eastAsia="宋体" w:cs="宋体"/>
                <w:i w:val="0"/>
                <w:iCs w:val="0"/>
                <w:color w:val="000000"/>
                <w:sz w:val="18"/>
                <w:szCs w:val="18"/>
                <w:u w:val="none"/>
              </w:rPr>
            </w:pPr>
          </w:p>
        </w:tc>
        <w:tc>
          <w:tcPr>
            <w:tcW w:w="628" w:type="dxa"/>
            <w:tcBorders>
              <w:top w:val="single" w:color="000000" w:sz="4" w:space="0"/>
              <w:left w:val="single" w:color="000000" w:sz="4" w:space="0"/>
              <w:bottom w:val="nil"/>
              <w:right w:val="single" w:color="000000" w:sz="4" w:space="0"/>
            </w:tcBorders>
            <w:shd w:val="clear" w:color="auto" w:fill="auto"/>
            <w:vAlign w:val="center"/>
          </w:tcPr>
          <w:p w14:paraId="6D3E4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17CF6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30E73463">
            <w:pPr>
              <w:jc w:val="center"/>
              <w:rPr>
                <w:rFonts w:hint="eastAsia" w:ascii="宋体" w:hAnsi="宋体" w:eastAsia="宋体" w:cs="宋体"/>
                <w:i w:val="0"/>
                <w:iCs w:val="0"/>
                <w:color w:val="000000"/>
                <w:sz w:val="18"/>
                <w:szCs w:val="18"/>
                <w:u w:val="none"/>
              </w:rPr>
            </w:pPr>
          </w:p>
        </w:tc>
      </w:tr>
      <w:tr w14:paraId="7BC5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74" w:type="dxa"/>
            <w:vMerge w:val="continue"/>
            <w:tcBorders>
              <w:top w:val="single" w:color="000000" w:sz="4" w:space="0"/>
              <w:left w:val="single" w:color="000000" w:sz="4" w:space="0"/>
              <w:bottom w:val="nil"/>
              <w:right w:val="single" w:color="000000" w:sz="4" w:space="0"/>
            </w:tcBorders>
            <w:shd w:val="clear" w:color="auto" w:fill="auto"/>
            <w:vAlign w:val="center"/>
          </w:tcPr>
          <w:p w14:paraId="4A8101EA">
            <w:pPr>
              <w:jc w:val="center"/>
              <w:rPr>
                <w:rFonts w:hint="eastAsia" w:ascii="宋体" w:hAnsi="宋体" w:eastAsia="宋体" w:cs="宋体"/>
                <w:i w:val="0"/>
                <w:iCs w:val="0"/>
                <w:color w:val="000000"/>
                <w:sz w:val="18"/>
                <w:szCs w:val="18"/>
                <w:u w:val="none"/>
              </w:rPr>
            </w:pPr>
          </w:p>
        </w:tc>
        <w:tc>
          <w:tcPr>
            <w:tcW w:w="355" w:type="dxa"/>
            <w:tcBorders>
              <w:top w:val="single" w:color="000000" w:sz="4" w:space="0"/>
              <w:left w:val="single" w:color="000000" w:sz="4" w:space="0"/>
              <w:bottom w:val="nil"/>
              <w:right w:val="single" w:color="000000" w:sz="4" w:space="0"/>
            </w:tcBorders>
            <w:shd w:val="clear" w:color="auto" w:fill="auto"/>
            <w:vAlign w:val="center"/>
          </w:tcPr>
          <w:p w14:paraId="53B0F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41" w:type="dxa"/>
            <w:tcBorders>
              <w:top w:val="single" w:color="000000" w:sz="4" w:space="0"/>
              <w:left w:val="single" w:color="000000" w:sz="4" w:space="0"/>
              <w:bottom w:val="nil"/>
              <w:right w:val="single" w:color="000000" w:sz="4" w:space="0"/>
            </w:tcBorders>
            <w:shd w:val="clear" w:color="auto" w:fill="auto"/>
            <w:vAlign w:val="center"/>
          </w:tcPr>
          <w:p w14:paraId="6CC21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913" w:type="dxa"/>
            <w:tcBorders>
              <w:top w:val="single" w:color="000000" w:sz="4" w:space="0"/>
              <w:left w:val="single" w:color="000000" w:sz="4" w:space="0"/>
              <w:bottom w:val="nil"/>
              <w:right w:val="single" w:color="000000" w:sz="4" w:space="0"/>
            </w:tcBorders>
            <w:shd w:val="clear" w:color="auto" w:fill="auto"/>
            <w:vAlign w:val="center"/>
          </w:tcPr>
          <w:p w14:paraId="3731F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耐多药患者满意度</w:t>
            </w:r>
          </w:p>
        </w:tc>
        <w:tc>
          <w:tcPr>
            <w:tcW w:w="1009" w:type="dxa"/>
            <w:tcBorders>
              <w:top w:val="single" w:color="000000" w:sz="4" w:space="0"/>
              <w:left w:val="single" w:color="000000" w:sz="4" w:space="0"/>
              <w:bottom w:val="nil"/>
              <w:right w:val="single" w:color="000000" w:sz="4" w:space="0"/>
            </w:tcBorders>
            <w:shd w:val="clear" w:color="auto" w:fill="auto"/>
            <w:vAlign w:val="center"/>
          </w:tcPr>
          <w:p w14:paraId="2860E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817" w:type="dxa"/>
            <w:tcBorders>
              <w:top w:val="single" w:color="000000" w:sz="4" w:space="0"/>
              <w:left w:val="single" w:color="000000" w:sz="4" w:space="0"/>
              <w:bottom w:val="nil"/>
              <w:right w:val="single" w:color="000000" w:sz="4" w:space="0"/>
            </w:tcBorders>
            <w:shd w:val="clear" w:color="auto" w:fill="auto"/>
            <w:vAlign w:val="center"/>
          </w:tcPr>
          <w:p w14:paraId="1CD43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1013" w:type="dxa"/>
            <w:tcBorders>
              <w:top w:val="single" w:color="000000" w:sz="4" w:space="0"/>
              <w:left w:val="single" w:color="000000" w:sz="4" w:space="0"/>
              <w:bottom w:val="nil"/>
              <w:right w:val="single" w:color="000000" w:sz="4" w:space="0"/>
            </w:tcBorders>
            <w:shd w:val="clear" w:color="auto" w:fill="auto"/>
            <w:vAlign w:val="center"/>
          </w:tcPr>
          <w:p w14:paraId="5F658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48" w:type="dxa"/>
            <w:tcBorders>
              <w:top w:val="single" w:color="000000" w:sz="4" w:space="0"/>
              <w:left w:val="single" w:color="000000" w:sz="4" w:space="0"/>
              <w:bottom w:val="nil"/>
              <w:right w:val="single" w:color="000000" w:sz="4" w:space="0"/>
            </w:tcBorders>
            <w:shd w:val="clear" w:color="auto" w:fill="auto"/>
            <w:vAlign w:val="center"/>
          </w:tcPr>
          <w:p w14:paraId="5056D3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954" w:type="dxa"/>
            <w:tcBorders>
              <w:top w:val="single" w:color="000000" w:sz="4" w:space="0"/>
              <w:left w:val="single" w:color="000000" w:sz="4" w:space="0"/>
              <w:bottom w:val="nil"/>
              <w:right w:val="single" w:color="000000" w:sz="4" w:space="0"/>
            </w:tcBorders>
            <w:shd w:val="clear" w:color="auto" w:fill="auto"/>
            <w:vAlign w:val="center"/>
          </w:tcPr>
          <w:p w14:paraId="1BB3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628" w:type="dxa"/>
            <w:tcBorders>
              <w:top w:val="single" w:color="000000" w:sz="4" w:space="0"/>
              <w:left w:val="single" w:color="000000" w:sz="4" w:space="0"/>
              <w:bottom w:val="nil"/>
              <w:right w:val="single" w:color="000000" w:sz="4" w:space="0"/>
            </w:tcBorders>
            <w:shd w:val="clear" w:color="auto" w:fill="auto"/>
            <w:vAlign w:val="center"/>
          </w:tcPr>
          <w:p w14:paraId="236D6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59" w:type="dxa"/>
            <w:tcBorders>
              <w:top w:val="single" w:color="000000" w:sz="4" w:space="0"/>
              <w:left w:val="single" w:color="000000" w:sz="4" w:space="0"/>
              <w:bottom w:val="nil"/>
              <w:right w:val="single" w:color="000000" w:sz="4" w:space="0"/>
            </w:tcBorders>
            <w:shd w:val="clear" w:color="auto" w:fill="auto"/>
            <w:vAlign w:val="center"/>
          </w:tcPr>
          <w:p w14:paraId="633A66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613" w:type="dxa"/>
            <w:tcBorders>
              <w:top w:val="single" w:color="000000" w:sz="4" w:space="0"/>
              <w:left w:val="single" w:color="000000" w:sz="4" w:space="0"/>
              <w:bottom w:val="nil"/>
              <w:right w:val="single" w:color="000000" w:sz="4" w:space="0"/>
            </w:tcBorders>
            <w:shd w:val="clear" w:color="auto" w:fill="auto"/>
            <w:vAlign w:val="center"/>
          </w:tcPr>
          <w:p w14:paraId="2D903AD1">
            <w:pPr>
              <w:jc w:val="center"/>
              <w:rPr>
                <w:rFonts w:hint="eastAsia" w:ascii="宋体" w:hAnsi="宋体" w:eastAsia="宋体" w:cs="宋体"/>
                <w:i w:val="0"/>
                <w:iCs w:val="0"/>
                <w:color w:val="000000"/>
                <w:sz w:val="18"/>
                <w:szCs w:val="18"/>
                <w:u w:val="none"/>
              </w:rPr>
            </w:pPr>
          </w:p>
        </w:tc>
      </w:tr>
      <w:tr w14:paraId="6939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82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E8D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C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2A36">
            <w:pPr>
              <w:jc w:val="center"/>
              <w:rPr>
                <w:rFonts w:hint="eastAsia" w:ascii="宋体" w:hAnsi="宋体" w:eastAsia="宋体" w:cs="宋体"/>
                <w:i w:val="0"/>
                <w:iCs w:val="0"/>
                <w:color w:val="000000"/>
                <w:sz w:val="18"/>
                <w:szCs w:val="18"/>
                <w:u w:val="none"/>
              </w:rPr>
            </w:pPr>
          </w:p>
        </w:tc>
      </w:tr>
    </w:tbl>
    <w:p w14:paraId="05861A94">
      <w:pPr>
        <w:widowControl/>
        <w:spacing w:before="240" w:after="240"/>
        <w:ind w:firstLine="490"/>
        <w:rPr>
          <w:rFonts w:hint="default" w:ascii="fang_song_gb2312" w:hAnsi="fang_song_gb2312" w:eastAsia="fang_song_gb2312" w:cs="fang_song_gb2312"/>
          <w:kern w:val="0"/>
          <w:sz w:val="27"/>
          <w:szCs w:val="27"/>
        </w:rPr>
      </w:pPr>
    </w:p>
    <w:tbl>
      <w:tblPr>
        <w:tblStyle w:val="18"/>
        <w:tblW w:w="8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7"/>
        <w:gridCol w:w="698"/>
        <w:gridCol w:w="718"/>
        <w:gridCol w:w="941"/>
        <w:gridCol w:w="658"/>
        <w:gridCol w:w="511"/>
        <w:gridCol w:w="941"/>
        <w:gridCol w:w="951"/>
        <w:gridCol w:w="934"/>
        <w:gridCol w:w="494"/>
        <w:gridCol w:w="666"/>
        <w:gridCol w:w="596"/>
      </w:tblGrid>
      <w:tr w14:paraId="31770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880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32FB2C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0FFC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D39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33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05ED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市第二医院临时性补助中央财政补助资金</w:t>
            </w:r>
          </w:p>
        </w:tc>
      </w:tr>
      <w:tr w14:paraId="035ED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B655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29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0869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45F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4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E3B7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w:t>
            </w:r>
          </w:p>
        </w:tc>
      </w:tr>
      <w:tr w14:paraId="2DAEC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CFA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D214">
            <w:pP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9E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38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88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3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23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54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0999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996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9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EC5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81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6F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6E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23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C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19888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B0ACD">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63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A2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16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4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0422">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88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262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BC16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026E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6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DA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E1F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F6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2C6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7F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B50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BEB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85637">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84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B8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4F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99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3BB5">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8F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3CF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707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4A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3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76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5C5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0B28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A2F0F">
            <w:pPr>
              <w:jc w:val="center"/>
              <w:rPr>
                <w:rFonts w:hint="eastAsia" w:ascii="宋体" w:hAnsi="宋体" w:eastAsia="宋体" w:cs="宋体"/>
                <w:i w:val="0"/>
                <w:iCs w:val="0"/>
                <w:color w:val="000000"/>
                <w:sz w:val="18"/>
                <w:szCs w:val="18"/>
                <w:u w:val="none"/>
              </w:rPr>
            </w:pPr>
          </w:p>
        </w:tc>
        <w:tc>
          <w:tcPr>
            <w:tcW w:w="39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60F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强化一线医务人员保护关心爱护措施，为广大一线义务人员全身心投入疫情防控工作提供坚强保障，给予关怀激励。</w:t>
            </w:r>
          </w:p>
        </w:tc>
        <w:tc>
          <w:tcPr>
            <w:tcW w:w="34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1DE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强化一线医务人员保护关心爱护措施，为广大一线义务人员全身心投入疫情防控工作提供坚强保障，给予关怀激励,我医院按照有关规定和要求，坚持专款专用，已及时将全部补助资金发放到相关医务人员手中。</w:t>
            </w:r>
          </w:p>
        </w:tc>
      </w:tr>
      <w:tr w14:paraId="42D6E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0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F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8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3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E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D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8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8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0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E9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9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8A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799D6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7B570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0A42C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1AB24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FD6A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一类人员每人每天补助标准</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63C1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3800C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D341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81E02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61D00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5760FC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E951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A1440AA">
            <w:pPr>
              <w:jc w:val="center"/>
              <w:rPr>
                <w:rFonts w:hint="eastAsia" w:ascii="宋体" w:hAnsi="宋体" w:eastAsia="宋体" w:cs="宋体"/>
                <w:i w:val="0"/>
                <w:iCs w:val="0"/>
                <w:color w:val="000000"/>
                <w:sz w:val="18"/>
                <w:szCs w:val="18"/>
                <w:u w:val="none"/>
              </w:rPr>
            </w:pPr>
          </w:p>
        </w:tc>
      </w:tr>
      <w:tr w14:paraId="0C443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D728C7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44A9EB6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0F72268">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750A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二类人员每天补助标准</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93AE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2C073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AD94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26B9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8F54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2498B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29BB0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1C19996">
            <w:pPr>
              <w:jc w:val="center"/>
              <w:rPr>
                <w:rFonts w:hint="eastAsia" w:ascii="宋体" w:hAnsi="宋体" w:eastAsia="宋体" w:cs="宋体"/>
                <w:i w:val="0"/>
                <w:iCs w:val="0"/>
                <w:color w:val="000000"/>
                <w:sz w:val="18"/>
                <w:szCs w:val="18"/>
                <w:u w:val="none"/>
              </w:rPr>
            </w:pPr>
          </w:p>
        </w:tc>
      </w:tr>
      <w:tr w14:paraId="0967E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265A7EF">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AC8CCE0">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249BF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F102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按时发放给医务人员</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79DA4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3198B547">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7287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按时发放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368C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按时发放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0015EEF">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5A2841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7BA8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3EB2BB0">
            <w:pPr>
              <w:jc w:val="center"/>
              <w:rPr>
                <w:rFonts w:hint="eastAsia" w:ascii="宋体" w:hAnsi="宋体" w:eastAsia="宋体" w:cs="宋体"/>
                <w:i w:val="0"/>
                <w:iCs w:val="0"/>
                <w:color w:val="000000"/>
                <w:sz w:val="18"/>
                <w:szCs w:val="18"/>
                <w:u w:val="none"/>
              </w:rPr>
            </w:pPr>
          </w:p>
        </w:tc>
      </w:tr>
      <w:tr w14:paraId="4DAA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D801BB9">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AD54B8F">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CC5AF35">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B096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足额发放给义务人员</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43112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0AD0E32F">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C862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足额发放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E55F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足额发放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D9227EC">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7497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4E8A6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2B2F1AD1">
            <w:pPr>
              <w:jc w:val="center"/>
              <w:rPr>
                <w:rFonts w:hint="eastAsia" w:ascii="宋体" w:hAnsi="宋体" w:eastAsia="宋体" w:cs="宋体"/>
                <w:i w:val="0"/>
                <w:iCs w:val="0"/>
                <w:color w:val="000000"/>
                <w:sz w:val="18"/>
                <w:szCs w:val="18"/>
                <w:u w:val="none"/>
              </w:rPr>
            </w:pPr>
          </w:p>
        </w:tc>
      </w:tr>
      <w:tr w14:paraId="52F75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2663A48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71AB85E">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1264A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F2FE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一类人员总工作天数</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5C534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58730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30E5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1411</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A71E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1182.5</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B61F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98CE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B1EB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3AC1FA5">
            <w:pPr>
              <w:jc w:val="center"/>
              <w:rPr>
                <w:rFonts w:hint="eastAsia" w:ascii="宋体" w:hAnsi="宋体" w:eastAsia="宋体" w:cs="宋体"/>
                <w:i w:val="0"/>
                <w:iCs w:val="0"/>
                <w:color w:val="000000"/>
                <w:sz w:val="18"/>
                <w:szCs w:val="18"/>
                <w:u w:val="none"/>
              </w:rPr>
            </w:pPr>
          </w:p>
        </w:tc>
      </w:tr>
      <w:tr w14:paraId="5E790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CCFEC5D">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5080E2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8A0FCE7">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711D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二类人员总工作天数</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63661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0EE0D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8632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770.5</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076C1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6356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0EF74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8811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038D1FBB">
            <w:pPr>
              <w:jc w:val="center"/>
              <w:rPr>
                <w:rFonts w:hint="eastAsia" w:ascii="宋体" w:hAnsi="宋体" w:eastAsia="宋体" w:cs="宋体"/>
                <w:i w:val="0"/>
                <w:iCs w:val="0"/>
                <w:color w:val="000000"/>
                <w:sz w:val="18"/>
                <w:szCs w:val="18"/>
                <w:u w:val="none"/>
              </w:rPr>
            </w:pPr>
          </w:p>
        </w:tc>
      </w:tr>
      <w:tr w14:paraId="3633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CE3B16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0ADAA50">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3566A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0728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一类人员应补助金额</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DC97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132BE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A3C5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42.33</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30D08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35.475</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10AE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E0F0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D4B4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20FDD8C5">
            <w:pPr>
              <w:jc w:val="center"/>
              <w:rPr>
                <w:rFonts w:hint="eastAsia" w:ascii="宋体" w:hAnsi="宋体" w:eastAsia="宋体" w:cs="宋体"/>
                <w:i w:val="0"/>
                <w:iCs w:val="0"/>
                <w:color w:val="000000"/>
                <w:sz w:val="18"/>
                <w:szCs w:val="18"/>
                <w:u w:val="none"/>
              </w:rPr>
            </w:pPr>
          </w:p>
        </w:tc>
      </w:tr>
      <w:tr w14:paraId="6E899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4C60C73">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EC3804B">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975AC17">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63377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二类人员应补助金额</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3405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18E06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9561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15.41</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7B4C3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12.46</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0AAB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5C6174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45BC6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0693E343">
            <w:pPr>
              <w:jc w:val="center"/>
              <w:rPr>
                <w:rFonts w:hint="eastAsia" w:ascii="宋体" w:hAnsi="宋体" w:eastAsia="宋体" w:cs="宋体"/>
                <w:i w:val="0"/>
                <w:iCs w:val="0"/>
                <w:color w:val="000000"/>
                <w:sz w:val="18"/>
                <w:szCs w:val="18"/>
                <w:u w:val="none"/>
              </w:rPr>
            </w:pPr>
          </w:p>
        </w:tc>
      </w:tr>
      <w:tr w14:paraId="436F4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A40029D">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43EDB6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0D771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DC85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提高我院应急救治能力</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A2E3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38F113B0">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AACB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676F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FF3A3AF">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4AC9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543C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F9F429E">
            <w:pPr>
              <w:jc w:val="center"/>
              <w:rPr>
                <w:rFonts w:hint="eastAsia" w:ascii="宋体" w:hAnsi="宋体" w:eastAsia="宋体" w:cs="宋体"/>
                <w:i w:val="0"/>
                <w:iCs w:val="0"/>
                <w:color w:val="000000"/>
                <w:sz w:val="18"/>
                <w:szCs w:val="18"/>
                <w:u w:val="none"/>
              </w:rPr>
            </w:pPr>
          </w:p>
        </w:tc>
      </w:tr>
      <w:tr w14:paraId="2C15E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CE6CE36">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C455833">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4ADB36E">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0D86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表达对医务人员工作的认可</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3F6E8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714987BE">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B6F3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有效表达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3AC2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有效表达</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629CAEA8">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0D079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4C263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38B4DE0">
            <w:pPr>
              <w:jc w:val="center"/>
              <w:rPr>
                <w:rFonts w:hint="eastAsia" w:ascii="宋体" w:hAnsi="宋体" w:eastAsia="宋体" w:cs="宋体"/>
                <w:i w:val="0"/>
                <w:iCs w:val="0"/>
                <w:color w:val="000000"/>
                <w:sz w:val="18"/>
                <w:szCs w:val="18"/>
                <w:u w:val="none"/>
              </w:rPr>
            </w:pPr>
          </w:p>
        </w:tc>
      </w:tr>
      <w:tr w14:paraId="4827A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9780E8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847E537">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11AF9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C305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充分调动广大义务人员积极性</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23544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51B34923">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2712D7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30F2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D91E962">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27BCF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CD0A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4A1382C2">
            <w:pPr>
              <w:jc w:val="center"/>
              <w:rPr>
                <w:rFonts w:hint="eastAsia" w:ascii="宋体" w:hAnsi="宋体" w:eastAsia="宋体" w:cs="宋体"/>
                <w:i w:val="0"/>
                <w:iCs w:val="0"/>
                <w:color w:val="000000"/>
                <w:sz w:val="18"/>
                <w:szCs w:val="18"/>
                <w:u w:val="none"/>
              </w:rPr>
            </w:pPr>
          </w:p>
        </w:tc>
      </w:tr>
      <w:tr w14:paraId="5B2D6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2D13E3E">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7E0220D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2698B938">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05ED0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提圣义务人员服务意思</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07C10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35E24AEE">
            <w:pPr>
              <w:jc w:val="center"/>
              <w:rPr>
                <w:rFonts w:hint="eastAsia" w:ascii="宋体" w:hAnsi="宋体" w:eastAsia="宋体" w:cs="宋体"/>
                <w:i w:val="0"/>
                <w:iCs w:val="0"/>
                <w:color w:val="000000"/>
                <w:sz w:val="18"/>
                <w:szCs w:val="18"/>
                <w:u w:val="none"/>
              </w:rPr>
            </w:pP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4564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逐步提升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32DE6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4826D2B6">
            <w:pPr>
              <w:jc w:val="center"/>
              <w:rPr>
                <w:rFonts w:hint="eastAsia" w:ascii="宋体" w:hAnsi="宋体" w:eastAsia="宋体" w:cs="宋体"/>
                <w:i w:val="0"/>
                <w:iCs w:val="0"/>
                <w:color w:val="000000"/>
                <w:sz w:val="18"/>
                <w:szCs w:val="18"/>
                <w:u w:val="none"/>
              </w:rPr>
            </w:pPr>
          </w:p>
        </w:tc>
        <w:tc>
          <w:tcPr>
            <w:tcW w:w="495" w:type="dxa"/>
            <w:tcBorders>
              <w:top w:val="single" w:color="000000" w:sz="4" w:space="0"/>
              <w:left w:val="single" w:color="000000" w:sz="4" w:space="0"/>
              <w:bottom w:val="nil"/>
              <w:right w:val="single" w:color="000000" w:sz="4" w:space="0"/>
            </w:tcBorders>
            <w:shd w:val="clear" w:color="auto" w:fill="auto"/>
            <w:vAlign w:val="center"/>
          </w:tcPr>
          <w:p w14:paraId="33F80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526BB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6FF35E05">
            <w:pPr>
              <w:jc w:val="center"/>
              <w:rPr>
                <w:rFonts w:hint="eastAsia" w:ascii="宋体" w:hAnsi="宋体" w:eastAsia="宋体" w:cs="宋体"/>
                <w:i w:val="0"/>
                <w:iCs w:val="0"/>
                <w:color w:val="000000"/>
                <w:sz w:val="18"/>
                <w:szCs w:val="18"/>
                <w:u w:val="none"/>
              </w:rPr>
            </w:pPr>
          </w:p>
        </w:tc>
      </w:tr>
      <w:tr w14:paraId="4055C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AC78219">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F4AB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6FDE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387E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患者满意度</w:t>
            </w:r>
          </w:p>
        </w:tc>
        <w:tc>
          <w:tcPr>
            <w:tcW w:w="690" w:type="dxa"/>
            <w:tcBorders>
              <w:top w:val="single" w:color="000000" w:sz="4" w:space="0"/>
              <w:left w:val="single" w:color="000000" w:sz="4" w:space="0"/>
              <w:bottom w:val="nil"/>
              <w:right w:val="single" w:color="000000" w:sz="4" w:space="0"/>
            </w:tcBorders>
            <w:shd w:val="clear" w:color="auto" w:fill="auto"/>
            <w:vAlign w:val="center"/>
          </w:tcPr>
          <w:p w14:paraId="1A5BB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525" w:type="dxa"/>
            <w:tcBorders>
              <w:top w:val="single" w:color="000000" w:sz="4" w:space="0"/>
              <w:left w:val="single" w:color="000000" w:sz="4" w:space="0"/>
              <w:bottom w:val="nil"/>
              <w:right w:val="single" w:color="000000" w:sz="4" w:space="0"/>
            </w:tcBorders>
            <w:shd w:val="clear" w:color="auto" w:fill="auto"/>
            <w:vAlign w:val="center"/>
          </w:tcPr>
          <w:p w14:paraId="0D540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53404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16794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975" w:type="dxa"/>
            <w:tcBorders>
              <w:top w:val="single" w:color="000000" w:sz="4" w:space="0"/>
              <w:left w:val="single" w:color="000000" w:sz="4" w:space="0"/>
              <w:bottom w:val="nil"/>
              <w:right w:val="single" w:color="000000" w:sz="4" w:space="0"/>
            </w:tcBorders>
            <w:shd w:val="clear" w:color="auto" w:fill="auto"/>
            <w:vAlign w:val="center"/>
          </w:tcPr>
          <w:p w14:paraId="09A99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百分比</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1F4FA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40AE3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nil"/>
              <w:right w:val="single" w:color="000000" w:sz="4" w:space="0"/>
            </w:tcBorders>
            <w:shd w:val="clear" w:color="auto" w:fill="auto"/>
            <w:vAlign w:val="center"/>
          </w:tcPr>
          <w:p w14:paraId="77E04730">
            <w:pPr>
              <w:jc w:val="center"/>
              <w:rPr>
                <w:rFonts w:hint="eastAsia" w:ascii="宋体" w:hAnsi="宋体" w:eastAsia="宋体" w:cs="宋体"/>
                <w:i w:val="0"/>
                <w:iCs w:val="0"/>
                <w:color w:val="000000"/>
                <w:sz w:val="18"/>
                <w:szCs w:val="18"/>
                <w:u w:val="none"/>
              </w:rPr>
            </w:pPr>
          </w:p>
        </w:tc>
      </w:tr>
      <w:tr w14:paraId="1C059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2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F54E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5C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33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95.66</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957D">
            <w:pPr>
              <w:jc w:val="center"/>
              <w:rPr>
                <w:rFonts w:hint="eastAsia" w:ascii="宋体" w:hAnsi="宋体" w:eastAsia="宋体" w:cs="宋体"/>
                <w:i w:val="0"/>
                <w:iCs w:val="0"/>
                <w:color w:val="000000"/>
                <w:sz w:val="18"/>
                <w:szCs w:val="18"/>
                <w:u w:val="none"/>
              </w:rPr>
            </w:pPr>
          </w:p>
        </w:tc>
      </w:tr>
    </w:tbl>
    <w:p w14:paraId="3359B5F4">
      <w:pPr>
        <w:widowControl/>
        <w:spacing w:before="240" w:after="240"/>
        <w:ind w:firstLine="490"/>
        <w:rPr>
          <w:rFonts w:hint="default" w:ascii="fang_song_gb2312" w:hAnsi="fang_song_gb2312" w:eastAsia="fang_song_gb2312" w:cs="fang_song_gb2312"/>
          <w:kern w:val="0"/>
          <w:sz w:val="27"/>
          <w:szCs w:val="27"/>
        </w:rPr>
      </w:pPr>
    </w:p>
    <w:tbl>
      <w:tblPr>
        <w:tblStyle w:val="18"/>
        <w:tblW w:w="92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5"/>
        <w:gridCol w:w="735"/>
        <w:gridCol w:w="1200"/>
        <w:gridCol w:w="735"/>
        <w:gridCol w:w="735"/>
        <w:gridCol w:w="735"/>
        <w:gridCol w:w="735"/>
        <w:gridCol w:w="735"/>
        <w:gridCol w:w="735"/>
        <w:gridCol w:w="735"/>
        <w:gridCol w:w="735"/>
        <w:gridCol w:w="735"/>
      </w:tblGrid>
      <w:tr w14:paraId="27DE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28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4B24D90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13F4E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1F9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78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7E59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2023年重大传染病防控中央财政经费</w:t>
            </w:r>
          </w:p>
        </w:tc>
      </w:tr>
      <w:tr w14:paraId="4A57B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B5D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34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E114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巴彦淖尔市卫生健康委员会（部门）</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E56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2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2822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巴彦淖尔市第二医院</w:t>
            </w:r>
          </w:p>
        </w:tc>
      </w:tr>
      <w:tr w14:paraId="476DA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5C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3C7F">
            <w:pP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5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36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F5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B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AC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1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1A412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B99E6">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2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681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E10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DE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7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BD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A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5457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68866">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7C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28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FD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FD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1D43">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0C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041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B8B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1E917">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A5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F6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9EE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0B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3921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19B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2B5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5B5C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BE71D">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9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081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64C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366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3A9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147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B9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5160F">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6E1B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4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627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7B0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24A0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510C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4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224EE">
            <w:pPr>
              <w:jc w:val="center"/>
              <w:rPr>
                <w:rFonts w:hint="eastAsia" w:ascii="宋体" w:hAnsi="宋体" w:eastAsia="宋体" w:cs="宋体"/>
                <w:i w:val="0"/>
                <w:iCs w:val="0"/>
                <w:color w:val="000000"/>
                <w:sz w:val="18"/>
                <w:szCs w:val="18"/>
                <w:u w:val="none"/>
              </w:rPr>
            </w:pPr>
          </w:p>
        </w:tc>
        <w:tc>
          <w:tcPr>
            <w:tcW w:w="41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CAE1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提高肺结核患者的耐药筛查率及分子检测率，提高我市耐多药肺结核患者的检出率</w:t>
            </w:r>
          </w:p>
        </w:tc>
        <w:tc>
          <w:tcPr>
            <w:tcW w:w="36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969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完成了648例耐药可疑者筛查、423例结核病患者分子检测；耐药可疑者筛查率97.8%，结核病患者分子检测率96.2%。</w:t>
            </w:r>
          </w:p>
        </w:tc>
      </w:tr>
      <w:tr w14:paraId="537CF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C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D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A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D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4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6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B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C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4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9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75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68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09EB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16C75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5A524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2BF91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BA45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耐药可疑者筛查数</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3FE1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5C7C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1413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C7F1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AE18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19B0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D2566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C7D1198">
            <w:pPr>
              <w:jc w:val="center"/>
              <w:rPr>
                <w:rFonts w:hint="eastAsia" w:ascii="宋体" w:hAnsi="宋体" w:eastAsia="宋体" w:cs="宋体"/>
                <w:i w:val="0"/>
                <w:iCs w:val="0"/>
                <w:color w:val="000000"/>
                <w:sz w:val="18"/>
                <w:szCs w:val="18"/>
                <w:u w:val="none"/>
              </w:rPr>
            </w:pPr>
          </w:p>
        </w:tc>
      </w:tr>
      <w:tr w14:paraId="00A8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17EE79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98BFDC2">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458C198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FAF8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结核病患者分子检测数</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A926A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A8DCD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21FA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302F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B0673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CC77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EAF0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6146B0B">
            <w:pPr>
              <w:jc w:val="center"/>
              <w:rPr>
                <w:rFonts w:hint="eastAsia" w:ascii="宋体" w:hAnsi="宋体" w:eastAsia="宋体" w:cs="宋体"/>
                <w:i w:val="0"/>
                <w:iCs w:val="0"/>
                <w:color w:val="000000"/>
                <w:sz w:val="18"/>
                <w:szCs w:val="18"/>
                <w:u w:val="none"/>
              </w:rPr>
            </w:pPr>
          </w:p>
        </w:tc>
      </w:tr>
      <w:tr w14:paraId="0B99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0EDDFAC">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9DD305B">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549DB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36D3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耐药可疑者筛查率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29C3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1A47B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1C9A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57BE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A3AD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百分之</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5666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B687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4CC737E">
            <w:pPr>
              <w:jc w:val="center"/>
              <w:rPr>
                <w:rFonts w:hint="eastAsia" w:ascii="宋体" w:hAnsi="宋体" w:eastAsia="宋体" w:cs="宋体"/>
                <w:i w:val="0"/>
                <w:iCs w:val="0"/>
                <w:color w:val="000000"/>
                <w:sz w:val="18"/>
                <w:szCs w:val="18"/>
                <w:u w:val="none"/>
              </w:rPr>
            </w:pPr>
          </w:p>
        </w:tc>
      </w:tr>
      <w:tr w14:paraId="0A5A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1F9C6834">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84D9064">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64868B4E">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1653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结核病患者分子检测率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56760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099B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C12E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96AF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50B1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百分之</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930B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6D7E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E51EDEA">
            <w:pPr>
              <w:jc w:val="center"/>
              <w:rPr>
                <w:rFonts w:hint="eastAsia" w:ascii="宋体" w:hAnsi="宋体" w:eastAsia="宋体" w:cs="宋体"/>
                <w:i w:val="0"/>
                <w:iCs w:val="0"/>
                <w:color w:val="000000"/>
                <w:sz w:val="18"/>
                <w:szCs w:val="18"/>
                <w:u w:val="none"/>
              </w:rPr>
            </w:pPr>
          </w:p>
        </w:tc>
      </w:tr>
      <w:tr w14:paraId="6152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942E6E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47C097B3">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5DD02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B294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项目持续时间</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8D54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43B9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6EEF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196E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55749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99E6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EAFE4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49A7855">
            <w:pPr>
              <w:jc w:val="center"/>
              <w:rPr>
                <w:rFonts w:hint="eastAsia" w:ascii="宋体" w:hAnsi="宋体" w:eastAsia="宋体" w:cs="宋体"/>
                <w:i w:val="0"/>
                <w:iCs w:val="0"/>
                <w:color w:val="000000"/>
                <w:sz w:val="18"/>
                <w:szCs w:val="18"/>
                <w:u w:val="none"/>
              </w:rPr>
            </w:pPr>
          </w:p>
        </w:tc>
      </w:tr>
      <w:tr w14:paraId="52DC4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7692835">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19B145F">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74D3F796">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944D6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检验结果反馈时间</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9D54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D022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72A91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6148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2EEA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小时</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F745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0878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EBFB644">
            <w:pPr>
              <w:jc w:val="center"/>
              <w:rPr>
                <w:rFonts w:hint="eastAsia" w:ascii="宋体" w:hAnsi="宋体" w:eastAsia="宋体" w:cs="宋体"/>
                <w:i w:val="0"/>
                <w:iCs w:val="0"/>
                <w:color w:val="000000"/>
                <w:sz w:val="18"/>
                <w:szCs w:val="18"/>
                <w:u w:val="none"/>
              </w:rPr>
            </w:pPr>
          </w:p>
        </w:tc>
      </w:tr>
      <w:tr w14:paraId="01862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47139B90">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95FAEC3">
            <w:pPr>
              <w:jc w:val="center"/>
              <w:rPr>
                <w:rFonts w:hint="eastAsia" w:ascii="宋体" w:hAnsi="宋体" w:eastAsia="宋体" w:cs="宋体"/>
                <w:i w:val="0"/>
                <w:iCs w:val="0"/>
                <w:color w:val="000000"/>
                <w:sz w:val="18"/>
                <w:szCs w:val="18"/>
                <w:u w:val="none"/>
              </w:rPr>
            </w:pPr>
          </w:p>
        </w:tc>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70CD3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E10F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筛查成本</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645C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529C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A747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58D7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66B0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F8AB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F53D2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B93BC89">
            <w:pPr>
              <w:jc w:val="center"/>
              <w:rPr>
                <w:rFonts w:hint="eastAsia" w:ascii="宋体" w:hAnsi="宋体" w:eastAsia="宋体" w:cs="宋体"/>
                <w:i w:val="0"/>
                <w:iCs w:val="0"/>
                <w:color w:val="000000"/>
                <w:sz w:val="18"/>
                <w:szCs w:val="18"/>
                <w:u w:val="none"/>
              </w:rPr>
            </w:pPr>
          </w:p>
        </w:tc>
      </w:tr>
      <w:tr w14:paraId="4F39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08E139A2">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32B5B7F">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2B76583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12E3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检验成本</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545B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919B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78D3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DBEC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E6F7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8D01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0D77D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B98FF4F">
            <w:pPr>
              <w:jc w:val="center"/>
              <w:rPr>
                <w:rFonts w:hint="eastAsia" w:ascii="宋体" w:hAnsi="宋体" w:eastAsia="宋体" w:cs="宋体"/>
                <w:i w:val="0"/>
                <w:iCs w:val="0"/>
                <w:color w:val="000000"/>
                <w:sz w:val="18"/>
                <w:szCs w:val="18"/>
                <w:u w:val="none"/>
              </w:rPr>
            </w:pPr>
          </w:p>
        </w:tc>
      </w:tr>
      <w:tr w14:paraId="3E3C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63B33BA3">
            <w:pPr>
              <w:jc w:val="center"/>
              <w:rPr>
                <w:rFonts w:hint="eastAsia" w:ascii="宋体" w:hAnsi="宋体" w:eastAsia="宋体" w:cs="宋体"/>
                <w:i w:val="0"/>
                <w:iCs w:val="0"/>
                <w:color w:val="000000"/>
                <w:sz w:val="18"/>
                <w:szCs w:val="18"/>
                <w:u w:val="none"/>
              </w:rPr>
            </w:pPr>
          </w:p>
        </w:tc>
        <w:tc>
          <w:tcPr>
            <w:tcW w:w="735" w:type="dxa"/>
            <w:vMerge w:val="restart"/>
            <w:tcBorders>
              <w:top w:val="single" w:color="000000" w:sz="4" w:space="0"/>
              <w:left w:val="single" w:color="000000" w:sz="4" w:space="0"/>
              <w:bottom w:val="nil"/>
              <w:right w:val="single" w:color="000000" w:sz="4" w:space="0"/>
            </w:tcBorders>
            <w:shd w:val="clear" w:color="auto" w:fill="auto"/>
            <w:vAlign w:val="center"/>
          </w:tcPr>
          <w:p w14:paraId="40770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200" w:type="dxa"/>
            <w:vMerge w:val="restart"/>
            <w:tcBorders>
              <w:top w:val="single" w:color="000000" w:sz="4" w:space="0"/>
              <w:left w:val="single" w:color="000000" w:sz="4" w:space="0"/>
              <w:bottom w:val="nil"/>
              <w:right w:val="single" w:color="000000" w:sz="4" w:space="0"/>
            </w:tcBorders>
            <w:shd w:val="clear" w:color="auto" w:fill="auto"/>
            <w:vAlign w:val="center"/>
          </w:tcPr>
          <w:p w14:paraId="0034C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A2F8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满足登记肺结核患者免费耐药筛查需求</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927E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1AF1E35">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9291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A9BA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DC7573F">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25C3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2175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459ACEA">
            <w:pPr>
              <w:jc w:val="center"/>
              <w:rPr>
                <w:rFonts w:hint="eastAsia" w:ascii="宋体" w:hAnsi="宋体" w:eastAsia="宋体" w:cs="宋体"/>
                <w:i w:val="0"/>
                <w:iCs w:val="0"/>
                <w:color w:val="000000"/>
                <w:sz w:val="18"/>
                <w:szCs w:val="18"/>
                <w:u w:val="none"/>
              </w:rPr>
            </w:pPr>
          </w:p>
        </w:tc>
      </w:tr>
      <w:tr w14:paraId="29552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8C0ECC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578E0D5A">
            <w:pPr>
              <w:jc w:val="center"/>
              <w:rPr>
                <w:rFonts w:hint="eastAsia" w:ascii="宋体" w:hAnsi="宋体" w:eastAsia="宋体" w:cs="宋体"/>
                <w:i w:val="0"/>
                <w:iCs w:val="0"/>
                <w:color w:val="000000"/>
                <w:sz w:val="18"/>
                <w:szCs w:val="18"/>
                <w:u w:val="none"/>
              </w:rPr>
            </w:pPr>
          </w:p>
        </w:tc>
        <w:tc>
          <w:tcPr>
            <w:tcW w:w="1200" w:type="dxa"/>
            <w:vMerge w:val="continue"/>
            <w:tcBorders>
              <w:top w:val="single" w:color="000000" w:sz="4" w:space="0"/>
              <w:left w:val="single" w:color="000000" w:sz="4" w:space="0"/>
              <w:bottom w:val="nil"/>
              <w:right w:val="single" w:color="000000" w:sz="4" w:space="0"/>
            </w:tcBorders>
            <w:shd w:val="clear" w:color="auto" w:fill="auto"/>
            <w:vAlign w:val="center"/>
          </w:tcPr>
          <w:p w14:paraId="436DD8BC">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89E6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满足登记肺结核患者分子检测筛查需求</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D4BCC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44F1520">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EBC1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有效保障</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C17F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37FEC68">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13FB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8A2C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474E014">
            <w:pPr>
              <w:jc w:val="center"/>
              <w:rPr>
                <w:rFonts w:hint="eastAsia" w:ascii="宋体" w:hAnsi="宋体" w:eastAsia="宋体" w:cs="宋体"/>
                <w:i w:val="0"/>
                <w:iCs w:val="0"/>
                <w:color w:val="000000"/>
                <w:sz w:val="18"/>
                <w:szCs w:val="18"/>
                <w:u w:val="none"/>
              </w:rPr>
            </w:pPr>
          </w:p>
        </w:tc>
      </w:tr>
      <w:tr w14:paraId="755B4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4ED39341">
            <w:pPr>
              <w:jc w:val="center"/>
              <w:rPr>
                <w:rFonts w:hint="eastAsia" w:ascii="宋体" w:hAnsi="宋体" w:eastAsia="宋体" w:cs="宋体"/>
                <w:i w:val="0"/>
                <w:iCs w:val="0"/>
                <w:color w:val="000000"/>
                <w:sz w:val="18"/>
                <w:szCs w:val="18"/>
                <w:u w:val="none"/>
              </w:rPr>
            </w:pPr>
          </w:p>
        </w:tc>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3183994B">
            <w:pPr>
              <w:jc w:val="center"/>
              <w:rPr>
                <w:rFonts w:hint="eastAsia" w:ascii="宋体" w:hAnsi="宋体" w:eastAsia="宋体" w:cs="宋体"/>
                <w:i w:val="0"/>
                <w:iCs w:val="0"/>
                <w:color w:val="000000"/>
                <w:sz w:val="18"/>
                <w:szCs w:val="18"/>
                <w:u w:val="none"/>
              </w:rPr>
            </w:pPr>
          </w:p>
        </w:tc>
        <w:tc>
          <w:tcPr>
            <w:tcW w:w="1200" w:type="dxa"/>
            <w:tcBorders>
              <w:top w:val="single" w:color="000000" w:sz="4" w:space="0"/>
              <w:left w:val="single" w:color="000000" w:sz="4" w:space="0"/>
              <w:bottom w:val="nil"/>
              <w:right w:val="single" w:color="000000" w:sz="4" w:space="0"/>
            </w:tcBorders>
            <w:shd w:val="clear" w:color="auto" w:fill="auto"/>
            <w:vAlign w:val="center"/>
          </w:tcPr>
          <w:p w14:paraId="74A44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66F4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提高结核病患者耐药筛查及分子检测率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7E9C5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D31FBD4">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B5415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稳步提升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5237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D54F51A">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3655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B17C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2881363">
            <w:pPr>
              <w:jc w:val="center"/>
              <w:rPr>
                <w:rFonts w:hint="eastAsia" w:ascii="宋体" w:hAnsi="宋体" w:eastAsia="宋体" w:cs="宋体"/>
                <w:i w:val="0"/>
                <w:iCs w:val="0"/>
                <w:color w:val="000000"/>
                <w:sz w:val="18"/>
                <w:szCs w:val="18"/>
                <w:u w:val="none"/>
              </w:rPr>
            </w:pPr>
          </w:p>
        </w:tc>
      </w:tr>
      <w:tr w14:paraId="60BA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35" w:type="dxa"/>
            <w:vMerge w:val="continue"/>
            <w:tcBorders>
              <w:top w:val="single" w:color="000000" w:sz="4" w:space="0"/>
              <w:left w:val="single" w:color="000000" w:sz="4" w:space="0"/>
              <w:bottom w:val="nil"/>
              <w:right w:val="single" w:color="000000" w:sz="4" w:space="0"/>
            </w:tcBorders>
            <w:shd w:val="clear" w:color="auto" w:fill="auto"/>
            <w:vAlign w:val="center"/>
          </w:tcPr>
          <w:p w14:paraId="2F05D9A2">
            <w:pPr>
              <w:jc w:val="center"/>
              <w:rPr>
                <w:rFonts w:hint="eastAsia" w:ascii="宋体" w:hAnsi="宋体" w:eastAsia="宋体" w:cs="宋体"/>
                <w:i w:val="0"/>
                <w:iCs w:val="0"/>
                <w:color w:val="000000"/>
                <w:sz w:val="18"/>
                <w:szCs w:val="18"/>
                <w:u w:val="none"/>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75A0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200" w:type="dxa"/>
            <w:tcBorders>
              <w:top w:val="single" w:color="000000" w:sz="4" w:space="0"/>
              <w:left w:val="single" w:color="000000" w:sz="4" w:space="0"/>
              <w:bottom w:val="nil"/>
              <w:right w:val="single" w:color="000000" w:sz="4" w:space="0"/>
            </w:tcBorders>
            <w:shd w:val="clear" w:color="auto" w:fill="auto"/>
            <w:vAlign w:val="center"/>
          </w:tcPr>
          <w:p w14:paraId="266CC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29B6D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结核病患者检测满意度</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1FD4D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528F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8575D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69B0F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E36D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百分之</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0DA514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EB42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5FEDA4E0">
            <w:pPr>
              <w:jc w:val="center"/>
              <w:rPr>
                <w:rFonts w:hint="eastAsia" w:ascii="宋体" w:hAnsi="宋体" w:eastAsia="宋体" w:cs="宋体"/>
                <w:i w:val="0"/>
                <w:iCs w:val="0"/>
                <w:color w:val="000000"/>
                <w:sz w:val="18"/>
                <w:szCs w:val="18"/>
                <w:u w:val="none"/>
              </w:rPr>
            </w:pPr>
          </w:p>
        </w:tc>
      </w:tr>
      <w:tr w14:paraId="6446E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0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D43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5B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B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A430">
            <w:pPr>
              <w:jc w:val="center"/>
              <w:rPr>
                <w:rFonts w:hint="eastAsia" w:ascii="宋体" w:hAnsi="宋体" w:eastAsia="宋体" w:cs="宋体"/>
                <w:i w:val="0"/>
                <w:iCs w:val="0"/>
                <w:color w:val="000000"/>
                <w:sz w:val="18"/>
                <w:szCs w:val="18"/>
                <w:u w:val="none"/>
              </w:rPr>
            </w:pPr>
          </w:p>
        </w:tc>
      </w:tr>
    </w:tbl>
    <w:p w14:paraId="1E522599">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w:t>
      </w:r>
      <w:r>
        <w:rPr>
          <w:rFonts w:hint="eastAsia" w:ascii="kai_ti_gb2312" w:hAnsi="kai_ti_gb2312" w:cs="kai_ti_gb2312"/>
          <w:b/>
          <w:bCs/>
          <w:kern w:val="0"/>
          <w:sz w:val="27"/>
          <w:szCs w:val="27"/>
          <w:lang w:eastAsia="zh-CN"/>
        </w:rPr>
        <w:t>单位</w:t>
      </w:r>
      <w:r>
        <w:rPr>
          <w:rFonts w:ascii="kai_ti_gb2312" w:hAnsi="kai_ti_gb2312" w:eastAsia="kai_ti_gb2312" w:cs="kai_ti_gb2312"/>
          <w:b/>
          <w:bCs/>
          <w:kern w:val="0"/>
          <w:sz w:val="27"/>
          <w:szCs w:val="27"/>
        </w:rPr>
        <w:t>项目绩效评价结果。</w:t>
      </w:r>
    </w:p>
    <w:p w14:paraId="7C9041A2">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ascii="Times New Roman" w:hAnsi="Times New Roman" w:eastAsia="Times New Roman" w:cs="Times New Roman"/>
          <w:kern w:val="0"/>
          <w:sz w:val="24"/>
        </w:rPr>
      </w:pPr>
      <w:r>
        <w:rPr>
          <w:rFonts w:hint="eastAsia" w:ascii="fang_song_gb2312" w:hAnsi="fang_song_gb2312" w:eastAsia="fang_song_gb2312" w:cs="fang_song_gb2312"/>
          <w:kern w:val="0"/>
          <w:sz w:val="27"/>
          <w:szCs w:val="27"/>
        </w:rPr>
        <w:t>我单位不涉及单位评价工作。</w:t>
      </w:r>
    </w:p>
    <w:p w14:paraId="7CAE0FC6">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14:paraId="7C18F90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5B16296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603CFDC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3636445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4B09067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0D0EAED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77F2211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03377B2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6E4DF89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3FBD838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5C607D9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642527A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66D4088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6D607F9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39B4C02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46D71E3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65496B0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用财政拨款安排的因公出国（境）费、公务用车购置及运行维护费和公务接待费。其中，因公出国（境）费反映</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)公务出国（境）的国际旅费、国外城市间交通费、住宿费、伙食费、培训费、公杂费等支出；公务用车购置及运行维护费反映</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公务用车购置支出（含车辆购置税、牌照费）以及按规定保留的公务用车燃料费、维修费、过路过桥费、保险费、安全奖励费用等支出；公务接待费反映</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按规定开支的各类公务接待（含外宾接待）费用。</w:t>
      </w:r>
    </w:p>
    <w:p w14:paraId="6905D630">
      <w:pPr>
        <w:widowControl/>
        <w:spacing w:before="240" w:after="240"/>
        <w:ind w:firstLine="481"/>
        <w:jc w:val="left"/>
        <w:rPr>
          <w:rFonts w:ascii="fang_song_gb2312" w:hAnsi="fang_song_gb2312" w:eastAsia="fang_song_gb2312" w:cs="fang_song_gb2312"/>
          <w:kern w:val="0"/>
          <w:sz w:val="27"/>
          <w:szCs w:val="27"/>
        </w:rPr>
      </w:pPr>
      <w:r>
        <w:rPr>
          <w:rFonts w:ascii="fang_song_gb2312" w:hAnsi="fang_song_gb2312" w:eastAsia="fang_song_gb2312" w:cs="fang_song_gb2312"/>
          <w:b/>
          <w:bCs/>
          <w:kern w:val="0"/>
          <w:sz w:val="27"/>
          <w:szCs w:val="27"/>
        </w:rPr>
        <w:t>十八、机构运行经费：</w:t>
      </w:r>
      <w:r>
        <w:rPr>
          <w:rFonts w:ascii="fang_song_gb2312" w:hAnsi="fang_song_gb2312" w:eastAsia="fang_song_gb2312" w:cs="fang_song_gb2312"/>
          <w:kern w:val="0"/>
          <w:sz w:val="27"/>
          <w:szCs w:val="27"/>
        </w:rPr>
        <w:t>指</w:t>
      </w:r>
      <w:r>
        <w:rPr>
          <w:rFonts w:hint="eastAsia" w:ascii="fang_song_gb2312" w:hAnsi="fang_song_gb2312" w:cs="fang_song_gb2312"/>
          <w:kern w:val="0"/>
          <w:sz w:val="27"/>
          <w:szCs w:val="27"/>
          <w:lang w:eastAsia="zh-CN"/>
        </w:rPr>
        <w:t>单位</w:t>
      </w:r>
      <w:r>
        <w:rPr>
          <w:rFonts w:ascii="fang_song_gb2312" w:hAnsi="fang_song_gb2312" w:eastAsia="fang_song_gb2312" w:cs="fang_song_gb2312"/>
          <w:kern w:val="0"/>
          <w:sz w:val="27"/>
          <w:szCs w:val="27"/>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B3253C6">
      <w:pPr>
        <w:widowControl/>
        <w:spacing w:before="240" w:after="240"/>
        <w:ind w:firstLine="481"/>
        <w:jc w:val="left"/>
        <w:rPr>
          <w:rFonts w:ascii="fang_song_gb2312" w:hAnsi="fang_song_gb2312" w:eastAsia="fang_song_gb2312" w:cs="fang_song_gb2312"/>
          <w:kern w:val="0"/>
          <w:sz w:val="27"/>
          <w:szCs w:val="27"/>
        </w:rPr>
      </w:pPr>
    </w:p>
    <w:p w14:paraId="2B052313">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14:paraId="4EB6AC85">
      <w:pPr>
        <w:widowControl/>
        <w:spacing w:before="240" w:after="240"/>
        <w:jc w:val="left"/>
        <w:rPr>
          <w:rFonts w:ascii="Times New Roman" w:hAnsi="Times New Roman" w:eastAsia="Times New Roman" w:cs="Times New Roman"/>
          <w:kern w:val="0"/>
          <w:sz w:val="24"/>
        </w:rPr>
      </w:pPr>
    </w:p>
    <w:p w14:paraId="1D603CBD">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14:paraId="62F0879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王宁 </w:t>
      </w:r>
      <w:r>
        <w:rPr>
          <w:rFonts w:ascii="fang_song_gb2312" w:hAnsi="fang_song_gb2312" w:eastAsia="fang_song_gb2312" w:cs="fang_song_gb2312"/>
          <w:kern w:val="0"/>
          <w:sz w:val="27"/>
          <w:szCs w:val="27"/>
        </w:rPr>
        <w:t>          联系电话：0478-8523496</w:t>
      </w:r>
    </w:p>
    <w:p w14:paraId="2D7848D9">
      <w:pPr>
        <w:widowControl/>
        <w:spacing w:before="240" w:after="240"/>
        <w:jc w:val="center"/>
        <w:rPr>
          <w:rFonts w:ascii="Times New Roman" w:hAnsi="Times New Roman" w:eastAsia="Times New Roman" w:cs="Times New Roman"/>
          <w:kern w:val="0"/>
          <w:sz w:val="24"/>
        </w:rPr>
      </w:pPr>
      <w:r>
        <w:rPr>
          <w:rFonts w:ascii="fang_zheng_xiao_biao_song_ti" w:hAnsi="fang_zheng_xiao_biao_song_ti" w:eastAsia="fang_zheng_xiao_biao_song_ti" w:cs="fang_zheng_xiao_biao_song_ti"/>
          <w:b/>
          <w:bCs/>
          <w:kern w:val="0"/>
          <w:sz w:val="36"/>
          <w:szCs w:val="36"/>
        </w:rPr>
        <w:t xml:space="preserve">第五部分 </w:t>
      </w:r>
      <w:r>
        <w:rPr>
          <w:rFonts w:hint="eastAsia" w:ascii="fang_zheng_xiao_biao_song_ti" w:hAnsi="fang_zheng_xiao_biao_song_ti" w:cs="fang_zheng_xiao_biao_song_ti"/>
          <w:b/>
          <w:bCs/>
          <w:kern w:val="0"/>
          <w:sz w:val="36"/>
          <w:szCs w:val="36"/>
          <w:lang w:eastAsia="zh-CN"/>
        </w:rPr>
        <w:t>单位</w:t>
      </w:r>
      <w:r>
        <w:rPr>
          <w:rFonts w:ascii="fang_zheng_xiao_biao_song_ti" w:hAnsi="fang_zheng_xiao_biao_song_ti" w:eastAsia="fang_zheng_xiao_biao_song_ti" w:cs="fang_zheng_xiao_biao_song_ti"/>
          <w:b/>
          <w:bCs/>
          <w:kern w:val="0"/>
          <w:sz w:val="36"/>
          <w:szCs w:val="36"/>
        </w:rPr>
        <w:t>决算表</w:t>
      </w:r>
    </w:p>
    <w:p w14:paraId="0BE376CD">
      <w:pPr>
        <w:widowControl/>
        <w:spacing w:before="240" w:after="240"/>
        <w:jc w:val="center"/>
        <w:rPr>
          <w:rFonts w:ascii="Times New Roman" w:hAnsi="Times New Roman" w:eastAsia="Times New Roman" w:cs="Times New Roman"/>
          <w:kern w:val="0"/>
          <w:sz w:val="24"/>
        </w:rPr>
      </w:pPr>
    </w:p>
    <w:p w14:paraId="71CAD855">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见附件。</w:t>
      </w:r>
    </w:p>
    <w:p w14:paraId="6490D9B2">
      <w:pPr>
        <w:widowControl/>
        <w:spacing w:before="240" w:after="240"/>
        <w:jc w:val="left"/>
        <w:rPr>
          <w:rFonts w:ascii="Times New Roman" w:hAnsi="Times New Roman" w:eastAsia="Times New Roman" w:cs="Times New Roman"/>
          <w:kern w:val="0"/>
          <w:sz w:val="24"/>
        </w:rPr>
      </w:pPr>
    </w:p>
    <w:p w14:paraId="12A050F5">
      <w:pPr>
        <w:widowControl/>
        <w:spacing w:before="240" w:after="240"/>
        <w:jc w:val="left"/>
        <w:rPr>
          <w:rFonts w:ascii="Times New Roman" w:hAnsi="Times New Roman" w:eastAsia="Times New Roman" w:cs="Times New Roman"/>
          <w:kern w:val="0"/>
          <w:sz w:val="24"/>
        </w:rPr>
      </w:pPr>
    </w:p>
    <w:bookmarkEnd w:id="0"/>
    <w:p w14:paraId="0B8A137C">
      <w:pPr>
        <w:adjustRightInd w:val="0"/>
        <w:snapToGrid w:val="0"/>
        <w:rPr>
          <w:rFonts w:ascii="宋体" w:hAnsi="宋体"/>
          <w:b/>
          <w:sz w:val="32"/>
          <w:szCs w:val="32"/>
        </w:rPr>
      </w:pPr>
    </w:p>
    <w:p w14:paraId="1DDDC079">
      <w:pPr>
        <w:adjustRightInd w:val="0"/>
        <w:snapToGrid w:val="0"/>
        <w:rPr>
          <w:rFonts w:ascii="宋体" w:hAnsi="宋体"/>
          <w:b/>
          <w:sz w:val="32"/>
          <w:szCs w:val="32"/>
        </w:rPr>
      </w:pPr>
    </w:p>
    <w:p w14:paraId="5510E1BA">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song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9558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B6A51">
    <w:pPr>
      <w:pStyle w:val="11"/>
      <w:jc w:val="center"/>
    </w:pPr>
    <w:r>
      <w:fldChar w:fldCharType="begin"/>
    </w:r>
    <w:r>
      <w:instrText xml:space="preserve"> PAGE   \* MERGEFORMAT </w:instrText>
    </w:r>
    <w:r>
      <w:fldChar w:fldCharType="separate"/>
    </w:r>
    <w:r>
      <w:rPr>
        <w:lang w:val="zh-CN"/>
      </w:rPr>
      <w:t>23</w:t>
    </w:r>
    <w:r>
      <w:rPr>
        <w:lang w:val="zh-CN"/>
      </w:rPr>
      <w:fldChar w:fldCharType="end"/>
    </w:r>
  </w:p>
  <w:p w14:paraId="772675DD">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3BBA1D"/>
    <w:multiLevelType w:val="singleLevel"/>
    <w:tmpl w:val="193BBA1D"/>
    <w:lvl w:ilvl="0" w:tentative="0">
      <w:start w:val="5"/>
      <w:numFmt w:val="chineseCounting"/>
      <w:suff w:val="nothing"/>
      <w:lvlText w:val="%1、"/>
      <w:lvlJc w:val="left"/>
      <w:pPr>
        <w:ind w:left="393"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0YzE4NmJiMmFkNDIxNTc2MTM1N2VmYzRkODM5YjY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1722330"/>
    <w:rsid w:val="0A344626"/>
    <w:rsid w:val="0CC9374C"/>
    <w:rsid w:val="19AC41D9"/>
    <w:rsid w:val="22F95FB5"/>
    <w:rsid w:val="24B93C4E"/>
    <w:rsid w:val="25583467"/>
    <w:rsid w:val="25891872"/>
    <w:rsid w:val="2B3E019C"/>
    <w:rsid w:val="2BCF1FA9"/>
    <w:rsid w:val="2EBC6814"/>
    <w:rsid w:val="31FE182D"/>
    <w:rsid w:val="36D30B9F"/>
    <w:rsid w:val="38645A3E"/>
    <w:rsid w:val="3C3E4D0D"/>
    <w:rsid w:val="3DD05E38"/>
    <w:rsid w:val="3E1D4DF6"/>
    <w:rsid w:val="3F3B3785"/>
    <w:rsid w:val="409F7D44"/>
    <w:rsid w:val="420B38E3"/>
    <w:rsid w:val="45807473"/>
    <w:rsid w:val="470152B5"/>
    <w:rsid w:val="47820827"/>
    <w:rsid w:val="4C2537F3"/>
    <w:rsid w:val="54AB4AB2"/>
    <w:rsid w:val="56837A94"/>
    <w:rsid w:val="5A7D00E8"/>
    <w:rsid w:val="5E7971EF"/>
    <w:rsid w:val="69FE723F"/>
    <w:rsid w:val="72A93034"/>
    <w:rsid w:val="766F54E7"/>
    <w:rsid w:val="774D3A7A"/>
    <w:rsid w:val="7C6420EC"/>
    <w:rsid w:val="7DB12889"/>
    <w:rsid w:val="7E8B30DA"/>
    <w:rsid w:val="7EF72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autoRedefine/>
    <w:uiPriority w:val="0"/>
    <w:pPr>
      <w:shd w:val="clear" w:color="auto" w:fill="000080"/>
    </w:pPr>
  </w:style>
  <w:style w:type="paragraph" w:styleId="8">
    <w:name w:val="toc 5"/>
    <w:basedOn w:val="1"/>
    <w:next w:val="1"/>
    <w:autoRedefine/>
    <w:qFormat/>
    <w:uiPriority w:val="0"/>
    <w:pPr>
      <w:ind w:left="840"/>
      <w:jc w:val="left"/>
    </w:pPr>
    <w:rPr>
      <w:sz w:val="20"/>
      <w:szCs w:val="20"/>
    </w:rPr>
  </w:style>
  <w:style w:type="paragraph" w:styleId="9">
    <w:name w:val="toc 3"/>
    <w:basedOn w:val="1"/>
    <w:next w:val="1"/>
    <w:autoRedefine/>
    <w:qFormat/>
    <w:uiPriority w:val="0"/>
    <w:pPr>
      <w:adjustRightInd w:val="0"/>
      <w:snapToGrid w:val="0"/>
      <w:spacing w:line="360" w:lineRule="auto"/>
      <w:ind w:firstLine="400" w:firstLineChars="400"/>
      <w:jc w:val="left"/>
    </w:pPr>
    <w:rPr>
      <w:sz w:val="24"/>
      <w:szCs w:val="20"/>
    </w:rPr>
  </w:style>
  <w:style w:type="paragraph" w:styleId="10">
    <w:name w:val="toc 8"/>
    <w:basedOn w:val="1"/>
    <w:next w:val="1"/>
    <w:autoRedefine/>
    <w:qFormat/>
    <w:uiPriority w:val="0"/>
    <w:pPr>
      <w:ind w:left="1470"/>
      <w:jc w:val="left"/>
    </w:pPr>
    <w:rPr>
      <w:sz w:val="20"/>
      <w:szCs w:val="20"/>
    </w:rPr>
  </w:style>
  <w:style w:type="paragraph" w:styleId="11">
    <w:name w:val="footer"/>
    <w:basedOn w:val="1"/>
    <w:link w:val="25"/>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pPr>
      <w:adjustRightInd w:val="0"/>
      <w:snapToGrid w:val="0"/>
      <w:spacing w:line="360" w:lineRule="auto"/>
      <w:jc w:val="left"/>
    </w:pPr>
    <w:rPr>
      <w:b/>
      <w:bCs/>
      <w:sz w:val="24"/>
      <w:szCs w:val="20"/>
    </w:rPr>
  </w:style>
  <w:style w:type="paragraph" w:styleId="14">
    <w:name w:val="toc 4"/>
    <w:basedOn w:val="1"/>
    <w:next w:val="1"/>
    <w:autoRedefine/>
    <w:qFormat/>
    <w:uiPriority w:val="0"/>
    <w:pPr>
      <w:ind w:left="630"/>
      <w:jc w:val="left"/>
    </w:pPr>
    <w:rPr>
      <w:sz w:val="20"/>
      <w:szCs w:val="20"/>
    </w:rPr>
  </w:style>
  <w:style w:type="paragraph" w:styleId="15">
    <w:name w:val="toc 6"/>
    <w:basedOn w:val="1"/>
    <w:next w:val="1"/>
    <w:autoRedefine/>
    <w:qFormat/>
    <w:uiPriority w:val="0"/>
    <w:pPr>
      <w:ind w:left="1050"/>
      <w:jc w:val="left"/>
    </w:pPr>
    <w:rPr>
      <w:sz w:val="20"/>
      <w:szCs w:val="20"/>
    </w:rPr>
  </w:style>
  <w:style w:type="paragraph" w:styleId="16">
    <w:name w:val="toc 2"/>
    <w:basedOn w:val="1"/>
    <w:next w:val="1"/>
    <w:uiPriority w:val="0"/>
    <w:pPr>
      <w:adjustRightInd w:val="0"/>
      <w:snapToGrid w:val="0"/>
      <w:spacing w:line="360" w:lineRule="auto"/>
      <w:ind w:firstLine="200" w:firstLineChars="200"/>
      <w:jc w:val="left"/>
    </w:pPr>
    <w:rPr>
      <w:iCs/>
      <w:sz w:val="24"/>
      <w:szCs w:val="20"/>
    </w:rPr>
  </w:style>
  <w:style w:type="paragraph" w:styleId="17">
    <w:name w:val="toc 9"/>
    <w:basedOn w:val="1"/>
    <w:next w:val="1"/>
    <w:autoRedefine/>
    <w:qFormat/>
    <w:uiPriority w:val="0"/>
    <w:pPr>
      <w:ind w:left="1680"/>
      <w:jc w:val="left"/>
    </w:pPr>
    <w:rPr>
      <w:sz w:val="20"/>
      <w:szCs w:val="20"/>
    </w:rPr>
  </w:style>
  <w:style w:type="character" w:styleId="20">
    <w:name w:val="page number"/>
    <w:basedOn w:val="19"/>
    <w:autoRedefine/>
    <w:qFormat/>
    <w:uiPriority w:val="0"/>
  </w:style>
  <w:style w:type="character" w:styleId="21">
    <w:name w:val="Hyperlink"/>
    <w:basedOn w:val="19"/>
    <w:qFormat/>
    <w:uiPriority w:val="0"/>
    <w:rPr>
      <w:color w:val="0000FF"/>
      <w:u w:val="single"/>
    </w:rPr>
  </w:style>
  <w:style w:type="character" w:customStyle="1" w:styleId="22">
    <w:name w:val="标题 4 字符"/>
    <w:basedOn w:val="19"/>
    <w:link w:val="5"/>
    <w:autoRedefine/>
    <w:qFormat/>
    <w:uiPriority w:val="0"/>
    <w:rPr>
      <w:rFonts w:ascii="Cambria" w:hAnsi="Cambria"/>
      <w:b/>
      <w:bCs/>
      <w:kern w:val="2"/>
      <w:sz w:val="28"/>
      <w:szCs w:val="28"/>
    </w:rPr>
  </w:style>
  <w:style w:type="paragraph" w:styleId="23">
    <w:name w:val="No Spacing"/>
    <w:link w:val="24"/>
    <w:autoRedefine/>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字符"/>
    <w:link w:val="23"/>
    <w:autoRedefine/>
    <w:qFormat/>
    <w:locked/>
    <w:uiPriority w:val="0"/>
    <w:rPr>
      <w:rFonts w:eastAsia="仿宋_GB2312"/>
      <w:sz w:val="30"/>
      <w:szCs w:val="22"/>
      <w:lang w:bidi="ar-SA"/>
    </w:rPr>
  </w:style>
  <w:style w:type="character" w:customStyle="1" w:styleId="25">
    <w:name w:val="页脚 字符"/>
    <w:basedOn w:val="19"/>
    <w:link w:val="11"/>
    <w:uiPriority w:val="0"/>
    <w:rPr>
      <w:kern w:val="2"/>
      <w:sz w:val="18"/>
      <w:szCs w:val="18"/>
    </w:rPr>
  </w:style>
  <w:style w:type="paragraph" w:styleId="26">
    <w:name w:val="List Paragraph"/>
    <w:basedOn w:val="1"/>
    <w:autoRedefine/>
    <w:qFormat/>
    <w:uiPriority w:val="0"/>
    <w:pPr>
      <w:ind w:firstLine="420" w:firstLineChars="200"/>
    </w:pPr>
  </w:style>
  <w:style w:type="character" w:customStyle="1" w:styleId="27">
    <w:name w:val="标题 3 字符"/>
    <w:basedOn w:val="19"/>
    <w:link w:val="4"/>
    <w:autoRedefine/>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effectLst>
              <a:innerShdw blurRad="63500" dist="50800" dir="2700000">
                <a:prstClr val="black">
                  <a:alpha val="50000"/>
                </a:prstClr>
              </a:innerShdw>
            </a:effectLst>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innerShdw blurRad="63500" dist="50800" dir="2700000">
                  <a:prstClr val="black">
                    <a:alpha val="50000"/>
                  </a:prstClr>
                </a:inn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innerShdw blurRad="63500" dist="50800" dir="2700000">
                  <a:prstClr val="black">
                    <a:alpha val="50000"/>
                  </a:prstClr>
                </a:inn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innerShdw blurRad="63500" dist="50800" dir="2700000">
                  <a:prstClr val="black">
                    <a:alpha val="50000"/>
                  </a:prstClr>
                </a:inn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innerShdw blurRad="63500" dist="50800" dir="2700000">
                  <a:prstClr val="black">
                    <a:alpha val="50000"/>
                  </a:prstClr>
                </a:innerShdw>
              </a:effectLst>
            </c:spPr>
          </c:dPt>
          <c:dLbls>
            <c:dLbl>
              <c:idx val="0"/>
              <c:layout>
                <c:manualLayout>
                  <c:x val="0.0162964993182763"/>
                  <c:y val="0.0743933387180852"/>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t>42</a:t>
                    </a:r>
                    <a:r>
                      <a:rPr lang="en-US" altLang="zh-CN"/>
                      <a:t>.21</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0.00638791284242672"/>
                  <c:y val="-0.000601228427927409"/>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44</a:t>
                    </a:r>
                    <a:r>
                      <a:rPr lang="en-US" altLang="zh-CN"/>
                      <a:t>.07</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0.0205587625336906"/>
                  <c:y val="0.0167861056896355"/>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3"/>
                        </a:solidFill>
                        <a:latin typeface="+mn-lt"/>
                        <a:ea typeface="+mn-ea"/>
                        <a:cs typeface="+mn-cs"/>
                      </a:defRPr>
                    </a:pPr>
                    <a:r>
                      <a:rPr lang="en-US" altLang="zh-CN"/>
                      <a:t>13.69</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0782545253892648"/>
                  <c:y val="0"/>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4"/>
                        </a:solidFill>
                        <a:latin typeface="+mn-lt"/>
                        <a:ea typeface="+mn-ea"/>
                        <a:cs typeface="+mn-cs"/>
                      </a:defRPr>
                    </a:pPr>
                    <a:r>
                      <a:rPr lang="en-US" altLang="zh-CN"/>
                      <a:t>0.03</a:t>
                    </a:r>
                    <a:r>
                      <a:t>%</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[工作簿1]Sheet1!$A$2:$A$5</c:f>
              <c:strCache>
                <c:ptCount val="4"/>
                <c:pt idx="0">
                  <c:v>一般公共预算财政拨款收入</c:v>
                </c:pt>
                <c:pt idx="1">
                  <c:v>政府性基金预算财政拨款收入</c:v>
                </c:pt>
                <c:pt idx="2">
                  <c:v>事业收入</c:v>
                </c:pt>
                <c:pt idx="3">
                  <c:v>其他收入</c:v>
                </c:pt>
              </c:strCache>
            </c:strRef>
          </c:cat>
          <c:val>
            <c:numRef>
              <c:f>[工作簿1]Sheet1!$B$2:$B$5</c:f>
              <c:numCache>
                <c:formatCode>#,##0.00</c:formatCode>
                <c:ptCount val="4"/>
                <c:pt idx="0">
                  <c:v>1930.85</c:v>
                </c:pt>
                <c:pt idx="1">
                  <c:v>2015.66</c:v>
                </c:pt>
                <c:pt idx="2" c:formatCode="General">
                  <c:v>626.43</c:v>
                </c:pt>
                <c:pt idx="3" c:formatCode="General">
                  <c:v>1.31</c:v>
                </c:pt>
              </c:numCache>
            </c:numRef>
          </c:val>
        </c:ser>
        <c:ser>
          <c:idx val="1"/>
          <c:order val="1"/>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[工作簿1]Sheet1!$A$2:$A$5</c:f>
              <c:strCache>
                <c:ptCount val="4"/>
                <c:pt idx="0">
                  <c:v>一般公共预算财政拨款收入</c:v>
                </c:pt>
                <c:pt idx="1">
                  <c:v>政府性基金预算财政拨款收入</c:v>
                </c:pt>
                <c:pt idx="2">
                  <c:v>事业收入</c:v>
                </c:pt>
                <c:pt idx="3">
                  <c:v>其他收入</c:v>
                </c:pt>
              </c:strCache>
            </c:strRef>
          </c:cat>
          <c:val>
            <c:numRef>
              <c:f>[工作簿1]Sheet1!$C$2:$C$5</c:f>
              <c:numCache>
                <c:formatCode>0.000%</c:formatCode>
                <c:ptCount val="4"/>
                <c:pt idx="0">
                  <c:v>0.4221</c:v>
                </c:pt>
                <c:pt idx="1">
                  <c:v>0.4407</c:v>
                </c:pt>
                <c:pt idx="2">
                  <c:v>0.1369</c:v>
                </c:pt>
                <c:pt idx="3">
                  <c:v>0.0003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[工作簿1]Sheet1!$F$3</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37</a:t>
                    </a:r>
                    <a:r>
                      <a:rPr lang="en-US" altLang="zh-CN"/>
                      <a:t>.22</a:t>
                    </a:r>
                    <a:r>
                      <a:t>%</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6</a:t>
                    </a:r>
                    <a:r>
                      <a:rPr lang="en-US" altLang="zh-CN"/>
                      <a:t>2.78</a:t>
                    </a:r>
                    <a:r>
                      <a:t>%</a:t>
                    </a:r>
                  </a:p>
                </c:rich>
              </c:tx>
              <c:dLblPos val="inEnd"/>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[工作簿1]Sheet1!$G$2:$H$2</c:f>
              <c:strCache>
                <c:ptCount val="2"/>
                <c:pt idx="0">
                  <c:v>基本支出</c:v>
                </c:pt>
                <c:pt idx="1">
                  <c:v>项目支出</c:v>
                </c:pt>
              </c:strCache>
            </c:strRef>
          </c:cat>
          <c:val>
            <c:numRef>
              <c:f>[工作簿1]Sheet1!$G$3:$H$3</c:f>
              <c:numCache>
                <c:formatCode>General</c:formatCode>
                <c:ptCount val="2"/>
                <c:pt idx="0">
                  <c:v>1743.48</c:v>
                </c:pt>
                <c:pt idx="1">
                  <c:v>2940.9</c:v>
                </c:pt>
              </c:numCache>
            </c:numRef>
          </c:val>
        </c:ser>
        <c:ser>
          <c:idx val="1"/>
          <c:order val="1"/>
          <c:tx>
            <c:strRef>
              <c:f>[工作簿1]Sheet1!$F$4</c:f>
              <c:strCache>
                <c:ptCount val="1"/>
                <c:pt idx="0">
                  <c:v>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[工作簿1]Sheet1!$G$2:$H$2</c:f>
              <c:strCache>
                <c:ptCount val="2"/>
                <c:pt idx="0">
                  <c:v>基本支出</c:v>
                </c:pt>
                <c:pt idx="1">
                  <c:v>项目支出</c:v>
                </c:pt>
              </c:strCache>
            </c:strRef>
          </c:cat>
          <c:val>
            <c:numRef>
              <c:f>[工作簿1]Sheet1!$G$4:$H$4</c:f>
              <c:numCache>
                <c:formatCode>0.00%</c:formatCode>
                <c:ptCount val="2"/>
                <c:pt idx="0">
                  <c:v>0.3722</c:v>
                </c:pt>
                <c:pt idx="1">
                  <c:v>0.6278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31</Pages>
  <Words>11587</Words>
  <Characters>13253</Characters>
  <Lines>1</Lines>
  <Paragraphs>1</Paragraphs>
  <TotalTime>0</TotalTime>
  <ScaleCrop>false</ScaleCrop>
  <LinksUpToDate>false</LinksUpToDate>
  <CharactersWithSpaces>13836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演示人</cp:lastModifiedBy>
  <cp:lastPrinted>2021-04-16T00:45:00Z</cp:lastPrinted>
  <dcterms:modified xsi:type="dcterms:W3CDTF">2024-10-17T01:56:22Z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9F682ACDBACD4A30B375EC402DD57D1D_12</vt:lpwstr>
  </property>
</Properties>
</file>