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hint="eastAsia" w:ascii="宋体" w:hAnsi="宋体"/>
          <w:b/>
          <w:bCs/>
          <w:sz w:val="52"/>
          <w:szCs w:val="52"/>
        </w:rPr>
      </w:pPr>
      <w:r>
        <w:rPr>
          <w:rFonts w:ascii="宋体" w:hAnsi="宋体"/>
          <w:b/>
          <w:bCs/>
          <w:sz w:val="52"/>
          <w:szCs w:val="52"/>
        </w:rPr>
        <w:t>2023</w:t>
      </w:r>
      <w:r>
        <w:rPr>
          <w:rFonts w:hint="eastAsia" w:ascii="宋体" w:hAnsi="宋体"/>
          <w:b/>
          <w:bCs/>
          <w:sz w:val="52"/>
          <w:szCs w:val="52"/>
        </w:rPr>
        <w:t>年度内蒙古自治区巴彦淖尔市卫生</w:t>
      </w:r>
    </w:p>
    <w:p>
      <w:pPr>
        <w:spacing w:line="360" w:lineRule="auto"/>
        <w:jc w:val="center"/>
        <w:rPr>
          <w:rFonts w:ascii="宋体" w:hAnsi="宋体"/>
          <w:b/>
          <w:bCs/>
          <w:sz w:val="52"/>
          <w:szCs w:val="52"/>
        </w:rPr>
      </w:pPr>
      <w:r>
        <w:rPr>
          <w:rFonts w:hint="eastAsia" w:ascii="宋体" w:hAnsi="宋体"/>
          <w:b/>
          <w:bCs/>
          <w:sz w:val="52"/>
          <w:szCs w:val="52"/>
        </w:rPr>
        <w:t>健康委员会（本级）</w:t>
      </w:r>
    </w:p>
    <w:p>
      <w:pPr>
        <w:spacing w:line="360" w:lineRule="auto"/>
        <w:jc w:val="center"/>
        <w:rPr>
          <w:rFonts w:ascii="宋体" w:hAnsi="宋体"/>
          <w:b/>
          <w:bCs/>
          <w:sz w:val="52"/>
          <w:szCs w:val="52"/>
        </w:rPr>
      </w:pPr>
      <w:r>
        <w:rPr>
          <w:rFonts w:hint="eastAsia" w:ascii="宋体" w:hAnsi="宋体"/>
          <w:b/>
          <w:bCs/>
          <w:sz w:val="52"/>
          <w:szCs w:val="52"/>
        </w:rPr>
        <w:t>公开文档</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left="3834" w:leftChars="1064" w:hanging="1600" w:hangingChars="500"/>
        <w:jc w:val="left"/>
        <w:rPr>
          <w:rFonts w:ascii="宋体" w:hAnsi="宋体"/>
          <w:sz w:val="32"/>
          <w:szCs w:val="32"/>
        </w:rPr>
      </w:pPr>
      <w:r>
        <w:rPr>
          <w:rFonts w:hint="eastAsia" w:ascii="宋体" w:hAnsi="宋体"/>
          <w:sz w:val="32"/>
          <w:szCs w:val="32"/>
        </w:rPr>
        <w:t>单位名称：内蒙古自治区巴彦淖尔市卫生健康委员会（本级）</w:t>
      </w:r>
    </w:p>
    <w:p>
      <w:pPr>
        <w:spacing w:line="360" w:lineRule="auto"/>
        <w:ind w:firstLine="2240" w:firstLineChars="700"/>
        <w:jc w:val="left"/>
        <w:rPr>
          <w:rFonts w:ascii="宋体" w:hAnsi="宋体"/>
          <w:sz w:val="32"/>
          <w:szCs w:val="32"/>
        </w:rPr>
      </w:pPr>
      <w:r>
        <w:rPr>
          <w:rFonts w:hint="eastAsia" w:ascii="宋体" w:hAnsi="宋体"/>
          <w:sz w:val="32"/>
          <w:szCs w:val="32"/>
        </w:rPr>
        <w:t>单位负责人：段瑞敏</w:t>
      </w:r>
    </w:p>
    <w:p>
      <w:pPr>
        <w:spacing w:line="360" w:lineRule="auto"/>
        <w:ind w:firstLine="2240" w:firstLineChars="700"/>
        <w:jc w:val="left"/>
        <w:rPr>
          <w:rFonts w:ascii="宋体" w:hAnsi="宋体"/>
          <w:sz w:val="32"/>
          <w:szCs w:val="32"/>
        </w:rPr>
      </w:pPr>
      <w:r>
        <w:rPr>
          <w:rFonts w:hint="eastAsia" w:ascii="宋体" w:hAnsi="宋体"/>
          <w:sz w:val="32"/>
          <w:szCs w:val="32"/>
        </w:rPr>
        <w:t>财务负责人：路彩萍</w:t>
      </w:r>
    </w:p>
    <w:p>
      <w:pPr>
        <w:spacing w:line="360" w:lineRule="auto"/>
        <w:ind w:firstLine="2240" w:firstLineChars="700"/>
        <w:jc w:val="left"/>
        <w:rPr>
          <w:rFonts w:ascii="宋体" w:hAnsi="宋体"/>
          <w:sz w:val="32"/>
          <w:szCs w:val="32"/>
        </w:rPr>
      </w:pPr>
      <w:r>
        <w:rPr>
          <w:rFonts w:hint="eastAsia" w:ascii="宋体" w:hAnsi="宋体"/>
          <w:sz w:val="32"/>
          <w:szCs w:val="32"/>
        </w:rPr>
        <w:t>编制人：何之媛</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年9月</w:t>
      </w:r>
    </w:p>
    <w:p>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adjustRightInd w:val="0"/>
        <w:snapToGrid w:val="0"/>
        <w:rPr>
          <w:rFonts w:ascii="宋体" w:hAnsi="宋体"/>
          <w:b/>
          <w:sz w:val="32"/>
          <w:szCs w:val="32"/>
        </w:rPr>
      </w:pPr>
    </w:p>
    <w:p>
      <w:pPr>
        <w:adjustRightInd w:val="0"/>
        <w:snapToGrid w:val="0"/>
        <w:jc w:val="center"/>
      </w:pPr>
    </w:p>
    <w:p>
      <w:pPr>
        <w:adjustRightInd w:val="0"/>
        <w:snapToGrid w:val="0"/>
        <w:rPr>
          <w:rFonts w:ascii="宋体" w:hAnsi="宋体"/>
          <w:b/>
          <w:sz w:val="32"/>
          <w:szCs w:val="32"/>
        </w:rPr>
      </w:pPr>
    </w:p>
    <w:p>
      <w:pPr>
        <w:pStyle w:val="3"/>
      </w:pPr>
      <w:r>
        <w:rPr>
          <w:rFonts w:hint="eastAsia"/>
        </w:rPr>
        <w:t>公开文档</w:t>
      </w:r>
    </w:p>
    <w:p>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单位概况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一、主要职能、职责</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二、单位机构设置及决算单位构成情况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年度单位主要工作完成情况</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单位决算情况说明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单位决算表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单位概况</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单位</w:t>
      </w:r>
      <w:r>
        <w:rPr>
          <w:rFonts w:hint="eastAsia" w:ascii="仿宋" w:hAnsi="仿宋" w:eastAsia="仿宋" w:cs="仿宋"/>
          <w:sz w:val="32"/>
          <w:szCs w:val="32"/>
        </w:rPr>
        <w:t>职能</w:t>
      </w:r>
    </w:p>
    <w:p>
      <w:pPr>
        <w:spacing w:before="100" w:after="100" w:line="580" w:lineRule="atLeast"/>
        <w:ind w:firstLine="600"/>
        <w:rPr>
          <w:rFonts w:hint="eastAsia" w:ascii="仿宋" w:hAnsi="仿宋" w:eastAsia="仿宋"/>
          <w:sz w:val="32"/>
          <w:szCs w:val="24"/>
        </w:rPr>
      </w:pPr>
      <w:r>
        <w:rPr>
          <w:rFonts w:hint="eastAsia" w:ascii="仿宋" w:hAnsi="仿宋" w:eastAsia="仿宋"/>
          <w:sz w:val="32"/>
          <w:szCs w:val="24"/>
        </w:rPr>
        <w:t>巴彦淖尔市卫生健康委员会是贯彻落实党中央关于卫生健康工作方针政策和自治区党委、市委相关决策部署，</w:t>
      </w:r>
      <w:bookmarkStart w:id="1" w:name="_GoBack"/>
      <w:bookmarkEnd w:id="1"/>
      <w:r>
        <w:rPr>
          <w:rFonts w:hint="eastAsia" w:ascii="仿宋" w:hAnsi="仿宋" w:eastAsia="仿宋"/>
          <w:sz w:val="32"/>
          <w:szCs w:val="24"/>
        </w:rPr>
        <w:t>在履行职责过程中坚持和加强党对卫生健康工作和集中统一领导的人民政府工作部门。</w:t>
      </w:r>
    </w:p>
    <w:p>
      <w:pPr>
        <w:spacing w:before="100" w:after="100" w:line="580" w:lineRule="atLeast"/>
        <w:ind w:firstLine="600"/>
        <w:rPr>
          <w:rFonts w:hint="eastAsia" w:ascii="仿宋" w:hAnsi="仿宋" w:eastAsia="仿宋"/>
          <w:sz w:val="32"/>
          <w:szCs w:val="24"/>
        </w:rPr>
      </w:pPr>
      <w:r>
        <w:rPr>
          <w:rFonts w:hint="eastAsia" w:ascii="仿宋" w:hAnsi="仿宋" w:eastAsia="仿宋"/>
          <w:sz w:val="32"/>
          <w:szCs w:val="24"/>
        </w:rPr>
        <w:t>（二）</w:t>
      </w:r>
      <w:r>
        <w:rPr>
          <w:rFonts w:hint="eastAsia" w:ascii="仿宋" w:hAnsi="仿宋" w:eastAsia="仿宋"/>
          <w:sz w:val="32"/>
          <w:szCs w:val="24"/>
          <w:lang w:val="en-US" w:eastAsia="zh-CN"/>
        </w:rPr>
        <w:t>单位</w:t>
      </w:r>
      <w:r>
        <w:rPr>
          <w:rFonts w:hint="eastAsia" w:ascii="仿宋" w:hAnsi="仿宋" w:eastAsia="仿宋"/>
          <w:sz w:val="32"/>
          <w:szCs w:val="24"/>
        </w:rPr>
        <w:t>主要职责</w:t>
      </w:r>
    </w:p>
    <w:p>
      <w:pPr>
        <w:spacing w:before="100" w:after="100" w:line="580" w:lineRule="atLeast"/>
        <w:ind w:firstLine="600"/>
        <w:rPr>
          <w:rFonts w:hint="eastAsia" w:ascii="仿宋" w:hAnsi="仿宋" w:eastAsia="仿宋"/>
          <w:sz w:val="32"/>
          <w:szCs w:val="24"/>
        </w:rPr>
      </w:pPr>
      <w:r>
        <w:rPr>
          <w:rFonts w:hint="eastAsia" w:ascii="仿宋" w:hAnsi="仿宋" w:eastAsia="仿宋"/>
          <w:sz w:val="32"/>
          <w:szCs w:val="24"/>
        </w:rPr>
        <w:t>1、贯彻落实有关卫生健康事业发展法律法规、政策、规划，研究拟定全市卫生健康政策并组织实施。统筹规划卫生健康资源配置，指导区域卫生健康规划的编制和实施。制定并组织实施推进卫生健康基本公共服务均等化、普惠化、便捷化和公共资源向基层延伸等政策措施。</w:t>
      </w:r>
    </w:p>
    <w:p>
      <w:pPr>
        <w:spacing w:before="100" w:after="100" w:line="580" w:lineRule="atLeast"/>
        <w:ind w:firstLine="600"/>
        <w:rPr>
          <w:rFonts w:hint="eastAsia" w:ascii="仿宋" w:hAnsi="仿宋" w:eastAsia="仿宋"/>
          <w:sz w:val="32"/>
          <w:szCs w:val="24"/>
        </w:rPr>
      </w:pPr>
      <w:r>
        <w:rPr>
          <w:rFonts w:hint="eastAsia" w:ascii="仿宋" w:hAnsi="仿宋" w:eastAsia="仿宋"/>
          <w:sz w:val="32"/>
          <w:szCs w:val="24"/>
        </w:rPr>
        <w:t>2、协调推进深化医药卫生体制改革，研究提出深化医药卫生体制改革重大方针、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before="100" w:after="100" w:line="580" w:lineRule="atLeast"/>
        <w:ind w:firstLine="600"/>
        <w:rPr>
          <w:rFonts w:hint="eastAsia" w:ascii="仿宋" w:hAnsi="仿宋" w:eastAsia="仿宋"/>
          <w:sz w:val="32"/>
          <w:szCs w:val="24"/>
        </w:rPr>
      </w:pPr>
      <w:r>
        <w:rPr>
          <w:rFonts w:hint="eastAsia" w:ascii="仿宋" w:hAnsi="仿宋" w:eastAsia="仿宋"/>
          <w:sz w:val="32"/>
          <w:szCs w:val="24"/>
        </w:rPr>
        <w:t>3、制定并组织落实疾病预防控制规划以及严重危害人民健康公共卫生问题的干预措施，实施国家免疫规划，负责卫生应急工作，组织指导突发公共卫生事件的预防控制和各类突发公共事件的医疗卫生救援，牵头全市《烟草控制框架公约》履约工作。组织开展食品安全风险监测评估。</w:t>
      </w:r>
    </w:p>
    <w:p>
      <w:pPr>
        <w:spacing w:before="100" w:after="100" w:line="580" w:lineRule="atLeast"/>
        <w:ind w:firstLine="600"/>
        <w:rPr>
          <w:rFonts w:hint="eastAsia" w:ascii="仿宋" w:hAnsi="仿宋" w:eastAsia="仿宋"/>
          <w:sz w:val="32"/>
          <w:szCs w:val="24"/>
        </w:rPr>
      </w:pPr>
      <w:r>
        <w:rPr>
          <w:rFonts w:hint="eastAsia" w:ascii="仿宋" w:hAnsi="仿宋" w:eastAsia="仿宋"/>
          <w:sz w:val="32"/>
          <w:szCs w:val="24"/>
        </w:rPr>
        <w:t>4、参与拟订并协调落实应对人口老龄化各项政策措施，负责推进全市老年健康服务体系建设和医养结合工作。</w:t>
      </w:r>
    </w:p>
    <w:p>
      <w:pPr>
        <w:spacing w:before="100" w:after="100" w:line="580" w:lineRule="atLeast"/>
        <w:ind w:firstLine="600"/>
        <w:rPr>
          <w:rFonts w:hint="eastAsia" w:ascii="仿宋" w:hAnsi="仿宋" w:eastAsia="仿宋"/>
          <w:sz w:val="32"/>
          <w:szCs w:val="24"/>
        </w:rPr>
      </w:pPr>
      <w:r>
        <w:rPr>
          <w:rFonts w:hint="eastAsia" w:ascii="仿宋" w:hAnsi="仿宋" w:eastAsia="仿宋"/>
          <w:sz w:val="32"/>
          <w:szCs w:val="24"/>
        </w:rPr>
        <w:t>5、贯彻落实国家和自治区药物政策和基本药物制度。</w:t>
      </w:r>
    </w:p>
    <w:p>
      <w:pPr>
        <w:spacing w:before="100" w:after="100" w:line="580" w:lineRule="atLeast"/>
        <w:ind w:firstLine="640" w:firstLineChars="200"/>
        <w:rPr>
          <w:rFonts w:hint="eastAsia" w:ascii="仿宋" w:hAnsi="仿宋" w:eastAsia="仿宋"/>
          <w:sz w:val="32"/>
          <w:szCs w:val="24"/>
        </w:rPr>
      </w:pPr>
      <w:r>
        <w:rPr>
          <w:rFonts w:hint="eastAsia" w:ascii="仿宋" w:hAnsi="仿宋" w:eastAsia="仿宋"/>
          <w:sz w:val="32"/>
          <w:szCs w:val="24"/>
        </w:rPr>
        <w:t> 6、负责职业范围内的职业卫生、放射卫生、环境卫生、学校卫生、公共场所卫生、饮用水卫生等公共卫生的监督管理，负责全市传染病防治监督，健全卫生健康综合监督体系。</w:t>
      </w:r>
    </w:p>
    <w:p>
      <w:pPr>
        <w:spacing w:before="100" w:after="100" w:line="580" w:lineRule="atLeast"/>
        <w:ind w:firstLine="600"/>
        <w:rPr>
          <w:rFonts w:hint="eastAsia" w:ascii="仿宋" w:hAnsi="仿宋" w:eastAsia="仿宋"/>
          <w:sz w:val="32"/>
          <w:szCs w:val="24"/>
        </w:rPr>
      </w:pPr>
      <w:r>
        <w:rPr>
          <w:rFonts w:hint="eastAsia" w:ascii="仿宋" w:hAnsi="仿宋" w:eastAsia="仿宋"/>
          <w:sz w:val="32"/>
          <w:szCs w:val="24"/>
        </w:rPr>
        <w:t>7、制定医疗机构、医疗服务行业管理办法并监督实施，建立医疗服务评价和监督管理体系。会同有关部门指导实施卫生健康专业技术人员资格标准。组织实施医疗服务规范、标准和卫生健康专业技术人员执业规则、服务规范。</w:t>
      </w:r>
    </w:p>
    <w:p>
      <w:pPr>
        <w:spacing w:before="100" w:after="100" w:line="580" w:lineRule="atLeast"/>
        <w:ind w:firstLine="600"/>
        <w:rPr>
          <w:rFonts w:hint="eastAsia" w:ascii="仿宋" w:hAnsi="仿宋" w:eastAsia="仿宋"/>
          <w:sz w:val="32"/>
          <w:szCs w:val="24"/>
        </w:rPr>
      </w:pPr>
      <w:r>
        <w:rPr>
          <w:rFonts w:hint="eastAsia" w:ascii="仿宋" w:hAnsi="仿宋" w:eastAsia="仿宋"/>
          <w:sz w:val="32"/>
          <w:szCs w:val="24"/>
        </w:rPr>
        <w:t>8、负责计划生育管理和服务工作，开展人口监测预警，研究提出人口与家庭发展相关政策建议，组织实施计划生育有关政策。</w:t>
      </w:r>
    </w:p>
    <w:p>
      <w:pPr>
        <w:spacing w:before="100" w:after="100" w:line="580" w:lineRule="atLeast"/>
        <w:ind w:firstLine="600"/>
        <w:rPr>
          <w:rFonts w:hint="eastAsia" w:ascii="仿宋" w:hAnsi="仿宋" w:eastAsia="仿宋"/>
          <w:sz w:val="32"/>
          <w:szCs w:val="24"/>
        </w:rPr>
      </w:pPr>
      <w:r>
        <w:rPr>
          <w:rFonts w:hint="eastAsia" w:ascii="仿宋" w:hAnsi="仿宋" w:eastAsia="仿宋"/>
          <w:sz w:val="32"/>
          <w:szCs w:val="24"/>
        </w:rPr>
        <w:t>9、指导基层医疗卫生、妇幼健康服务体系和全科医生队伍建设，推进卫生健康科技创新发展。</w:t>
      </w:r>
    </w:p>
    <w:p>
      <w:pPr>
        <w:spacing w:before="100" w:after="100" w:line="580" w:lineRule="atLeast"/>
        <w:ind w:firstLine="600"/>
        <w:rPr>
          <w:rFonts w:hint="eastAsia" w:ascii="仿宋" w:hAnsi="仿宋" w:eastAsia="仿宋"/>
          <w:sz w:val="32"/>
          <w:szCs w:val="24"/>
        </w:rPr>
      </w:pPr>
      <w:r>
        <w:rPr>
          <w:rFonts w:hint="eastAsia" w:ascii="仿宋" w:hAnsi="仿宋" w:eastAsia="仿宋"/>
          <w:sz w:val="32"/>
          <w:szCs w:val="24"/>
        </w:rPr>
        <w:t>10、保障和促进蒙医药中医药医疗、保健、教育、科研、文化及相关产业的改革发展与对外交流合作，推进蒙医药中医药传承创新和振兴发展。</w:t>
      </w:r>
    </w:p>
    <w:p>
      <w:pPr>
        <w:spacing w:before="100" w:after="100" w:line="580" w:lineRule="atLeast"/>
        <w:ind w:firstLine="600"/>
        <w:rPr>
          <w:rFonts w:hint="eastAsia" w:ascii="仿宋" w:hAnsi="仿宋" w:eastAsia="仿宋"/>
          <w:sz w:val="32"/>
          <w:szCs w:val="24"/>
        </w:rPr>
      </w:pPr>
      <w:r>
        <w:rPr>
          <w:rFonts w:hint="eastAsia" w:ascii="仿宋" w:hAnsi="仿宋" w:eastAsia="仿宋"/>
          <w:sz w:val="32"/>
          <w:szCs w:val="24"/>
        </w:rPr>
        <w:t>11、负责全市保健对象的医疗保健工作，承担全市重要会议与重大活动的医疗卫生保障任务。</w:t>
      </w:r>
    </w:p>
    <w:p>
      <w:pPr>
        <w:spacing w:before="100" w:after="100" w:line="580" w:lineRule="atLeast"/>
        <w:ind w:firstLine="600"/>
        <w:rPr>
          <w:rFonts w:hint="eastAsia" w:ascii="仿宋" w:hAnsi="仿宋" w:eastAsia="仿宋"/>
          <w:sz w:val="32"/>
          <w:szCs w:val="24"/>
        </w:rPr>
      </w:pPr>
      <w:r>
        <w:rPr>
          <w:rFonts w:hint="eastAsia" w:ascii="仿宋" w:hAnsi="仿宋" w:eastAsia="仿宋"/>
          <w:sz w:val="32"/>
          <w:szCs w:val="24"/>
        </w:rPr>
        <w:t>12、负责全市老年健康工作。</w:t>
      </w:r>
    </w:p>
    <w:p>
      <w:pPr>
        <w:spacing w:before="100" w:after="100" w:line="580" w:lineRule="atLeast"/>
        <w:ind w:firstLine="600"/>
        <w:rPr>
          <w:rFonts w:ascii="Times New Roman" w:hAnsi="Times New Roman" w:eastAsia="Times New Roman" w:cs="Times New Roman"/>
          <w:kern w:val="0"/>
          <w:sz w:val="24"/>
        </w:rPr>
      </w:pPr>
      <w:r>
        <w:rPr>
          <w:rFonts w:hint="eastAsia" w:ascii="仿宋" w:hAnsi="仿宋" w:eastAsia="仿宋"/>
          <w:sz w:val="32"/>
          <w:szCs w:val="24"/>
        </w:rPr>
        <w:t>13、完成市委、政府交办的其他任务。</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二、单位机构设置及决算单位构成情况</w:t>
      </w:r>
    </w:p>
    <w:p>
      <w:pPr>
        <w:spacing w:before="100" w:after="100" w:line="580" w:lineRule="atLeast"/>
        <w:ind w:firstLine="640" w:firstLineChars="200"/>
        <w:rPr>
          <w:rFonts w:hint="eastAsia" w:ascii="仿宋" w:hAnsi="仿宋" w:eastAsia="仿宋" w:cs="仿宋"/>
          <w:sz w:val="32"/>
          <w:szCs w:val="32"/>
        </w:rPr>
      </w:pPr>
      <w:r>
        <w:rPr>
          <w:rFonts w:hint="eastAsia" w:ascii="仿宋" w:hAnsi="仿宋" w:eastAsia="仿宋" w:cs="仿宋"/>
          <w:kern w:val="0"/>
          <w:sz w:val="32"/>
          <w:szCs w:val="32"/>
        </w:rPr>
        <w:t xml:space="preserve"> 1.根据单位职责分工，本单位内设</w:t>
      </w:r>
      <w:r>
        <w:rPr>
          <w:rFonts w:hint="eastAsia" w:ascii="仿宋" w:hAnsi="仿宋" w:eastAsia="仿宋" w:cs="仿宋"/>
          <w:sz w:val="32"/>
          <w:szCs w:val="32"/>
        </w:rPr>
        <w:t>科室包括办公室、机关党委、人事科、财务科、规划发展与信息科（信息化推进办公室）、医政医管科、体制改革科、法规科、疾病预防控制与食品安全科、基层卫生健康科、卫生应急与保健科（突发公共卫生事件应急指挥办公室）、科技教育科、综合监督与职业健康科、妇幼健康科、家庭发展与老龄健康科（离退休人员工作办公室）、宣传科（市爱国卫生运动委员会办公室）、蒙中医药管理科（局）（振兴蒙中医药推进办公室）。本单位无下属单位。</w:t>
      </w:r>
    </w:p>
    <w:p>
      <w:pPr>
        <w:spacing w:before="100" w:after="100" w:line="580" w:lineRule="atLeast"/>
        <w:ind w:firstLine="600"/>
        <w:rPr>
          <w:rFonts w:hint="eastAsia" w:ascii="仿宋" w:hAnsi="仿宋" w:eastAsia="仿宋" w:cs="仿宋"/>
          <w:color w:val="auto"/>
          <w:kern w:val="2"/>
          <w:sz w:val="32"/>
          <w:szCs w:val="32"/>
        </w:rPr>
      </w:pPr>
      <w:r>
        <w:rPr>
          <w:rFonts w:hint="eastAsia" w:ascii="仿宋" w:hAnsi="仿宋" w:eastAsia="仿宋" w:cs="仿宋"/>
          <w:kern w:val="0"/>
          <w:sz w:val="32"/>
          <w:szCs w:val="32"/>
        </w:rPr>
        <w:t> 2.从决算单位构成看，纳入本财政汇总决算编制范围的预算单位共计</w:t>
      </w:r>
      <w:r>
        <w:rPr>
          <w:rFonts w:hint="eastAsia" w:ascii="仿宋" w:hAnsi="仿宋" w:eastAsia="仿宋" w:cs="仿宋"/>
          <w:kern w:val="0"/>
          <w:sz w:val="32"/>
          <w:szCs w:val="32"/>
          <w:u w:val="single"/>
          <w:lang w:val="en-US" w:eastAsia="zh-CN"/>
        </w:rPr>
        <w:t>1</w:t>
      </w:r>
      <w:r>
        <w:rPr>
          <w:rFonts w:hint="eastAsia" w:ascii="仿宋" w:hAnsi="仿宋" w:eastAsia="仿宋" w:cs="仿宋"/>
          <w:kern w:val="0"/>
          <w:sz w:val="32"/>
          <w:szCs w:val="32"/>
        </w:rPr>
        <w:t>家，具体包括：</w:t>
      </w:r>
      <w:r>
        <w:rPr>
          <w:rFonts w:hint="eastAsia" w:ascii="仿宋" w:hAnsi="仿宋" w:eastAsia="仿宋" w:cs="仿宋"/>
          <w:color w:val="000000"/>
          <w:sz w:val="32"/>
          <w:szCs w:val="32"/>
          <w:lang w:val="en-US" w:eastAsia="zh-CN"/>
        </w:rPr>
        <w:t>巴彦淖尔市卫生健康委员会</w:t>
      </w:r>
      <w:r>
        <w:rPr>
          <w:rFonts w:hint="eastAsia" w:ascii="仿宋" w:hAnsi="仿宋" w:eastAsia="仿宋" w:cs="仿宋"/>
          <w:kern w:val="0"/>
          <w:sz w:val="32"/>
          <w:szCs w:val="32"/>
        </w:rPr>
        <w:t>本级。</w:t>
      </w:r>
      <w:r>
        <w:rPr>
          <w:rFonts w:hint="eastAsia" w:ascii="仿宋" w:hAnsi="仿宋" w:eastAsia="仿宋" w:cs="仿宋"/>
          <w:sz w:val="32"/>
          <w:szCs w:val="32"/>
        </w:rPr>
        <w:t>详细情况见表：</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3260"/>
        <w:gridCol w:w="4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default" w:ascii="Times New Roman" w:hAnsi="Times New Roman" w:eastAsia="Times New Roman"/>
                <w:color w:val="000000"/>
                <w:sz w:val="31"/>
                <w:szCs w:val="24"/>
              </w:rPr>
            </w:pPr>
            <w:r>
              <w:rPr>
                <w:rFonts w:hint="eastAsia" w:ascii="仿宋_GB2312" w:hAnsi="仿宋_GB2312" w:eastAsia="仿宋_GB2312"/>
                <w:color w:val="000000"/>
                <w:sz w:val="31"/>
                <w:szCs w:val="24"/>
              </w:rPr>
              <w:t>序号</w:t>
            </w:r>
          </w:p>
        </w:tc>
        <w:tc>
          <w:tcPr>
            <w:tcW w:w="326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default" w:ascii="Times New Roman" w:hAnsi="Times New Roman" w:eastAsia="Times New Roman"/>
                <w:color w:val="000000"/>
                <w:sz w:val="31"/>
                <w:szCs w:val="24"/>
              </w:rPr>
            </w:pPr>
            <w:r>
              <w:rPr>
                <w:rFonts w:hint="eastAsia" w:ascii="仿宋_GB2312" w:hAnsi="仿宋_GB2312" w:eastAsia="仿宋_GB2312"/>
                <w:color w:val="000000"/>
                <w:sz w:val="31"/>
                <w:szCs w:val="24"/>
              </w:rPr>
              <w:t>单位名称</w:t>
            </w:r>
          </w:p>
        </w:tc>
        <w:tc>
          <w:tcPr>
            <w:tcW w:w="460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default" w:ascii="Times New Roman" w:hAnsi="Times New Roman" w:eastAsia="Times New Roman"/>
                <w:color w:val="000000"/>
                <w:sz w:val="31"/>
                <w:szCs w:val="24"/>
              </w:rPr>
            </w:pPr>
            <w:r>
              <w:rPr>
                <w:rFonts w:hint="eastAsia" w:ascii="仿宋_GB2312" w:hAnsi="仿宋_GB2312" w:eastAsia="仿宋_GB2312"/>
                <w:color w:val="000000"/>
                <w:sz w:val="31"/>
                <w:szCs w:val="24"/>
              </w:rPr>
              <w:t>单位性质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default" w:ascii="Times New Roman" w:hAnsi="Times New Roman" w:eastAsia="Times New Roman"/>
                <w:color w:val="000000"/>
                <w:sz w:val="31"/>
                <w:szCs w:val="24"/>
              </w:rPr>
            </w:pPr>
            <w:r>
              <w:rPr>
                <w:rFonts w:hint="default" w:ascii="Times New Roman" w:hAnsi="Times New Roman" w:eastAsia="Times New Roman"/>
                <w:color w:val="000000"/>
                <w:sz w:val="31"/>
                <w:szCs w:val="24"/>
              </w:rPr>
              <w:t>1</w:t>
            </w:r>
          </w:p>
        </w:tc>
        <w:tc>
          <w:tcPr>
            <w:tcW w:w="3260"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default" w:ascii="Times New Roman" w:hAnsi="Times New Roman" w:eastAsia="宋体"/>
                <w:color w:val="000000"/>
                <w:sz w:val="31"/>
                <w:szCs w:val="24"/>
                <w:lang w:val="en-US" w:eastAsia="zh-CN"/>
              </w:rPr>
            </w:pPr>
            <w:r>
              <w:rPr>
                <w:rFonts w:hint="eastAsia" w:ascii="仿宋_GB2312" w:hAnsi="仿宋_GB2312" w:eastAsia="仿宋_GB2312"/>
                <w:color w:val="000000"/>
                <w:sz w:val="31"/>
                <w:szCs w:val="24"/>
                <w:lang w:val="en-US" w:eastAsia="zh-CN"/>
              </w:rPr>
              <w:t>巴彦淖尔市卫生健康委员会</w:t>
            </w:r>
          </w:p>
        </w:tc>
        <w:tc>
          <w:tcPr>
            <w:tcW w:w="4600"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default" w:ascii="Times New Roman" w:hAnsi="Times New Roman" w:eastAsia="Times New Roman"/>
                <w:color w:val="000000"/>
                <w:sz w:val="31"/>
                <w:szCs w:val="24"/>
              </w:rPr>
            </w:pPr>
            <w:r>
              <w:rPr>
                <w:rFonts w:hint="eastAsia" w:ascii="仿宋_GB2312" w:hAnsi="仿宋_GB2312" w:eastAsia="仿宋_GB2312"/>
                <w:color w:val="000000"/>
                <w:sz w:val="31"/>
                <w:szCs w:val="24"/>
              </w:rPr>
              <w:t>财政拨款的行政单位</w:t>
            </w:r>
          </w:p>
        </w:tc>
      </w:tr>
    </w:tbl>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三、2023年度单位主要工作完成情况</w:t>
      </w:r>
    </w:p>
    <w:p>
      <w:pPr>
        <w:widowControl/>
        <w:spacing w:before="240" w:after="240"/>
        <w:jc w:val="left"/>
        <w:rPr>
          <w:rFonts w:ascii="Times New Roman" w:hAnsi="Times New Roman" w:eastAsia="Times New Roman" w:cs="Times New Roman"/>
          <w:kern w:val="0"/>
          <w:sz w:val="24"/>
        </w:rPr>
      </w:pPr>
    </w:p>
    <w:p>
      <w:pPr>
        <w:adjustRightInd w:val="0"/>
        <w:snapToGrid w:val="0"/>
        <w:spacing w:line="560" w:lineRule="exact"/>
        <w:ind w:firstLine="540" w:firstLineChars="200"/>
        <w:rPr>
          <w:rFonts w:hint="default" w:ascii="Times New Roman" w:hAnsi="Times New Roman" w:cs="Times New Roman"/>
          <w:color w:val="FF0000"/>
          <w:sz w:val="32"/>
          <w:szCs w:val="32"/>
          <w:highlight w:val="none"/>
        </w:rPr>
      </w:pPr>
      <w:r>
        <w:rPr>
          <w:rFonts w:ascii="fang_song_gb2312" w:hAnsi="fang_song_gb2312" w:eastAsia="fang_song_gb2312" w:cs="fang_song_gb2312"/>
          <w:kern w:val="0"/>
          <w:sz w:val="27"/>
          <w:szCs w:val="27"/>
        </w:rPr>
        <w:t xml:space="preserve">    </w:t>
      </w:r>
      <w:r>
        <w:rPr>
          <w:rFonts w:hint="default" w:ascii="Times New Roman" w:hAnsi="Times New Roman" w:eastAsia="楷体_GB2312" w:cs="Times New Roman"/>
          <w:b/>
          <w:bCs/>
          <w:sz w:val="32"/>
          <w:szCs w:val="32"/>
          <w:highlight w:val="none"/>
        </w:rPr>
        <w:t>（一）慎终如始，持续抓好传染病防控。</w:t>
      </w:r>
      <w:r>
        <w:rPr>
          <w:rFonts w:hint="default" w:ascii="Times New Roman" w:hAnsi="Times New Roman" w:eastAsia="仿宋_GB2312" w:cs="Times New Roman"/>
          <w:bCs/>
          <w:sz w:val="32"/>
          <w:szCs w:val="32"/>
          <w:highlight w:val="none"/>
        </w:rPr>
        <w:t>推进医防融合，</w:t>
      </w:r>
      <w:r>
        <w:rPr>
          <w:rFonts w:hint="default" w:ascii="Times New Roman" w:hAnsi="Times New Roman" w:eastAsia="仿宋_GB2312" w:cs="Times New Roman"/>
          <w:sz w:val="32"/>
          <w:szCs w:val="32"/>
          <w:highlight w:val="none"/>
        </w:rPr>
        <w:t>市第二医院建成投用，填补了全市标准化传染病集中收治医院的空白，</w:t>
      </w:r>
      <w:r>
        <w:rPr>
          <w:rFonts w:hint="default" w:ascii="Times New Roman" w:hAnsi="Times New Roman" w:eastAsia="仿宋_GB2312" w:cs="Times New Roman"/>
          <w:bCs/>
          <w:sz w:val="32"/>
          <w:szCs w:val="32"/>
          <w:highlight w:val="none"/>
        </w:rPr>
        <w:t>全市24家二级及以上公立医疗机构已全部成立了公共卫生工作管理委员会。</w:t>
      </w:r>
      <w:r>
        <w:rPr>
          <w:rFonts w:hint="default" w:ascii="Times New Roman" w:hAnsi="Times New Roman" w:eastAsia="仿宋_GB2312" w:cs="Times New Roman"/>
          <w:sz w:val="32"/>
          <w:szCs w:val="32"/>
          <w:highlight w:val="none"/>
        </w:rPr>
        <w:t>确定市医院和临河区妇幼保健院为监测哨点医院，累计上报基因测序有效序列1</w:t>
      </w:r>
      <w:r>
        <w:rPr>
          <w:rFonts w:hint="default" w:ascii="Times New Roman" w:hAnsi="Times New Roman" w:eastAsia="仿宋_GB2312" w:cs="Times New Roman"/>
          <w:sz w:val="32"/>
          <w:szCs w:val="32"/>
          <w:highlight w:val="none"/>
          <w:lang w:val="en-US" w:eastAsia="zh-CN"/>
        </w:rPr>
        <w:t>61</w:t>
      </w:r>
      <w:r>
        <w:rPr>
          <w:rFonts w:hint="default" w:ascii="Times New Roman" w:hAnsi="Times New Roman" w:eastAsia="仿宋_GB2312" w:cs="Times New Roman"/>
          <w:sz w:val="32"/>
          <w:szCs w:val="32"/>
          <w:highlight w:val="none"/>
        </w:rPr>
        <w:t>条，</w:t>
      </w:r>
      <w:r>
        <w:rPr>
          <w:rFonts w:hint="default" w:ascii="Times New Roman" w:hAnsi="Times New Roman" w:eastAsia="仿宋_GB2312" w:cs="Times New Roman"/>
          <w:bCs/>
          <w:sz w:val="32"/>
          <w:szCs w:val="32"/>
          <w:highlight w:val="none"/>
        </w:rPr>
        <w:t>平稳有序实现了新冠病毒感染“乙类乙管”过渡。落实“管好放牧人员、盯住作业人员、强化首诊负责”鼠疫防控策略，乌拉特中旗建成200平米负压实验室和200平米应急储备库，自2021年以来，无鼠间鼠疫和人间鼠疫发生。加强各类疾病防控，规范处置1起猴痘疫情，</w:t>
      </w:r>
      <w:r>
        <w:rPr>
          <w:rFonts w:hint="default" w:ascii="Times New Roman" w:hAnsi="Times New Roman" w:eastAsia="仿宋_GB2312" w:cs="Times New Roman"/>
          <w:sz w:val="32"/>
          <w:szCs w:val="32"/>
          <w:highlight w:val="none"/>
        </w:rPr>
        <w:t>艾滋病持续处于低流行水平，全市报告布病病例较去年同期下降1</w:t>
      </w:r>
      <w:r>
        <w:rPr>
          <w:rFonts w:hint="default" w:ascii="Times New Roman" w:hAnsi="Times New Roman" w:eastAsia="仿宋_GB2312" w:cs="Times New Roman"/>
          <w:sz w:val="32"/>
          <w:szCs w:val="32"/>
          <w:highlight w:val="none"/>
          <w:lang w:val="en-US" w:eastAsia="zh-CN"/>
        </w:rPr>
        <w:t>6.1</w:t>
      </w:r>
      <w:r>
        <w:rPr>
          <w:rFonts w:hint="default" w:ascii="Times New Roman" w:hAnsi="Times New Roman" w:eastAsia="仿宋_GB2312" w:cs="Times New Roman"/>
          <w:sz w:val="32"/>
          <w:szCs w:val="32"/>
          <w:highlight w:val="none"/>
        </w:rPr>
        <w:t>%，适龄儿童常规免疫疫苗接种率</w:t>
      </w:r>
      <w:r>
        <w:rPr>
          <w:rFonts w:hint="default" w:ascii="Times New Roman" w:hAnsi="Times New Roman" w:eastAsia="仿宋_GB2312" w:cs="Times New Roman"/>
          <w:sz w:val="32"/>
          <w:szCs w:val="32"/>
          <w:highlight w:val="none"/>
          <w:lang w:val="en-US" w:eastAsia="zh-CN"/>
        </w:rPr>
        <w:t>98.71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lang w:bidi="ar"/>
        </w:rPr>
        <w:t>合格门诊建成率达到100%。</w:t>
      </w:r>
      <w:r>
        <w:rPr>
          <w:rFonts w:hint="default" w:ascii="Times New Roman" w:hAnsi="Times New Roman" w:eastAsia="仿宋_GB2312" w:cs="Times New Roman"/>
          <w:bCs/>
          <w:sz w:val="32"/>
          <w:szCs w:val="32"/>
          <w:highlight w:val="none"/>
        </w:rPr>
        <w:t>完成心理服务信息化平台建设，严重精神障碍管理治疗工作综合排名位居自治区前列，</w:t>
      </w:r>
      <w:r>
        <w:rPr>
          <w:rFonts w:hint="default" w:ascii="Times New Roman" w:hAnsi="Times New Roman" w:eastAsia="仿宋_GB2312" w:cs="Times New Roman"/>
          <w:color w:val="000000"/>
          <w:sz w:val="32"/>
          <w:szCs w:val="32"/>
          <w:highlight w:val="none"/>
        </w:rPr>
        <w:t>圆满各类重大保障任务30余次，</w:t>
      </w:r>
      <w:r>
        <w:rPr>
          <w:rFonts w:hint="default" w:ascii="Times New Roman" w:hAnsi="Times New Roman" w:eastAsia="仿宋_GB2312" w:cs="Times New Roman"/>
          <w:bCs/>
          <w:sz w:val="32"/>
          <w:szCs w:val="32"/>
          <w:highlight w:val="none"/>
        </w:rPr>
        <w:t>饮用水水质卫生监测覆盖全市各苏木乡镇（街道）。</w:t>
      </w:r>
    </w:p>
    <w:p>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（二）扩容优质医疗资源，推动公立医院高质量发展。</w:t>
      </w:r>
      <w:r>
        <w:rPr>
          <w:rFonts w:hint="default" w:ascii="Times New Roman" w:hAnsi="Times New Roman" w:eastAsia="仿宋_GB2312" w:cs="Times New Roman"/>
          <w:sz w:val="32"/>
          <w:szCs w:val="32"/>
          <w:highlight w:val="none"/>
        </w:rPr>
        <w:t>不断健全现代医院管理制度，</w:t>
      </w:r>
      <w:r>
        <w:rPr>
          <w:rFonts w:hint="default" w:ascii="Times New Roman" w:hAnsi="Times New Roman" w:eastAsia="仿宋_GB2312" w:cs="Times New Roman"/>
          <w:spacing w:val="8"/>
          <w:sz w:val="32"/>
          <w:szCs w:val="32"/>
          <w:highlight w:val="none"/>
        </w:rPr>
        <w:t>完善绩效管理、财务管理、资产管理、风险防控管理等各项制度，</w:t>
      </w:r>
      <w:r>
        <w:rPr>
          <w:rFonts w:hint="default" w:ascii="Times New Roman" w:hAnsi="Times New Roman" w:eastAsia="仿宋_GB2312" w:cs="Times New Roman"/>
          <w:spacing w:val="8"/>
          <w:sz w:val="32"/>
          <w:szCs w:val="32"/>
          <w:highlight w:val="none"/>
          <w:shd w:val="clear" w:color="auto" w:fill="FFFFFF"/>
        </w:rPr>
        <w:t>进一步提升医院运营管理科学化、规范化水平。</w:t>
      </w:r>
      <w:r>
        <w:rPr>
          <w:rFonts w:hint="default" w:ascii="Times New Roman" w:hAnsi="Times New Roman" w:eastAsia="仿宋_GB2312" w:cs="Times New Roman"/>
          <w:sz w:val="32"/>
          <w:szCs w:val="32"/>
          <w:highlight w:val="none"/>
        </w:rPr>
        <w:t>以医疗质量、医疗服务、医院管理提升等为重点，持续推进公立医院高质量发展。</w:t>
      </w:r>
      <w:r>
        <w:rPr>
          <w:rFonts w:hint="default" w:ascii="Times New Roman" w:hAnsi="Times New Roman" w:eastAsia="仿宋_GB2312" w:cs="Times New Roman"/>
          <w:b/>
          <w:bCs/>
          <w:sz w:val="32"/>
          <w:szCs w:val="32"/>
          <w:highlight w:val="none"/>
        </w:rPr>
        <w:t>一是</w:t>
      </w:r>
      <w:r>
        <w:rPr>
          <w:rFonts w:hint="default" w:ascii="Times New Roman" w:hAnsi="Times New Roman" w:eastAsia="仿宋_GB2312" w:cs="Times New Roman"/>
          <w:sz w:val="32"/>
          <w:szCs w:val="32"/>
          <w:highlight w:val="none"/>
        </w:rPr>
        <w:t>全市医疗救治能力进一步提升，不断加大重症资源扩容力度，增加各类ICU床位515张。在二级以上医疗机构开展重症医学、发热门诊管理等培训，累计培训医师494人次，护士1017人次。</w:t>
      </w:r>
      <w:r>
        <w:rPr>
          <w:rFonts w:hint="eastAsia" w:ascii="Times New Roman" w:hAnsi="Times New Roman" w:eastAsia="仿宋_GB2312" w:cs="Times New Roman"/>
          <w:b/>
          <w:bCs/>
          <w:sz w:val="32"/>
          <w:szCs w:val="32"/>
          <w:highlight w:val="none"/>
          <w:lang w:val="en-US" w:eastAsia="zh-CN"/>
        </w:rPr>
        <w:t>二</w:t>
      </w:r>
      <w:r>
        <w:rPr>
          <w:rFonts w:hint="default" w:ascii="Times New Roman" w:hAnsi="Times New Roman" w:eastAsia="仿宋_GB2312" w:cs="Times New Roman"/>
          <w:b/>
          <w:bCs/>
          <w:sz w:val="32"/>
          <w:szCs w:val="32"/>
          <w:highlight w:val="none"/>
        </w:rPr>
        <w:t>是</w:t>
      </w:r>
      <w:r>
        <w:rPr>
          <w:rFonts w:hint="default" w:ascii="Times New Roman" w:hAnsi="Times New Roman" w:eastAsia="仿宋_GB2312" w:cs="Times New Roman"/>
          <w:sz w:val="32"/>
          <w:szCs w:val="32"/>
          <w:highlight w:val="none"/>
        </w:rPr>
        <w:t>临床专科能力大幅提升，获批国家临床重点专科1个、国家级中医重点专科3个、申报国家特色优势重点专科4个，自治区及临床重点专科2个，建成自治区临床重点专科2个、特色优势重点专科25个、领先重点学科5个，市级重点专科31个，确定市级临床重点专科13个、旗县区级临床重点专科7个。二级以上综合医院PCCM（呼吸与危重症学科）规范化建设达到国家标准。</w:t>
      </w:r>
      <w:r>
        <w:rPr>
          <w:rFonts w:hint="eastAsia" w:ascii="Times New Roman" w:hAnsi="Times New Roman" w:eastAsia="仿宋_GB2312" w:cs="Times New Roman"/>
          <w:b/>
          <w:bCs/>
          <w:sz w:val="32"/>
          <w:szCs w:val="32"/>
          <w:highlight w:val="none"/>
          <w:lang w:val="en-US" w:eastAsia="zh-CN"/>
        </w:rPr>
        <w:t>三</w:t>
      </w:r>
      <w:r>
        <w:rPr>
          <w:rFonts w:hint="default" w:ascii="Times New Roman" w:hAnsi="Times New Roman" w:eastAsia="仿宋_GB2312" w:cs="Times New Roman"/>
          <w:b/>
          <w:bCs/>
          <w:sz w:val="32"/>
          <w:szCs w:val="32"/>
          <w:highlight w:val="none"/>
        </w:rPr>
        <w:t>是</w:t>
      </w:r>
      <w:r>
        <w:rPr>
          <w:rFonts w:hint="default" w:ascii="Times New Roman" w:hAnsi="Times New Roman" w:eastAsia="仿宋_GB2312" w:cs="Times New Roman"/>
          <w:sz w:val="32"/>
          <w:szCs w:val="32"/>
          <w:highlight w:val="none"/>
        </w:rPr>
        <w:t>实施“千县工程”，县级医院全部达到二级标准，县级中医（蒙医）医院全部达到二级甲等标准，临河区人民医院、临河区妇幼保健院晋升为三级医院,乌拉特前旗人民医院、五原县人民医院按照三级医院标准加快提升服务能力，6个旗县区综合医院完成互联网医院建设。</w:t>
      </w:r>
      <w:r>
        <w:rPr>
          <w:rFonts w:hint="eastAsia" w:ascii="Times New Roman" w:hAnsi="Times New Roman" w:eastAsia="仿宋_GB2312" w:cs="Times New Roman"/>
          <w:b/>
          <w:sz w:val="32"/>
          <w:szCs w:val="32"/>
          <w:highlight w:val="none"/>
          <w:lang w:val="en-US" w:eastAsia="zh-CN"/>
        </w:rPr>
        <w:t>四</w:t>
      </w:r>
      <w:r>
        <w:rPr>
          <w:rFonts w:hint="default" w:ascii="Times New Roman" w:hAnsi="Times New Roman" w:eastAsia="仿宋_GB2312" w:cs="Times New Roman"/>
          <w:b/>
          <w:sz w:val="32"/>
          <w:szCs w:val="32"/>
          <w:highlight w:val="none"/>
        </w:rPr>
        <w:t>是</w:t>
      </w:r>
      <w:r>
        <w:rPr>
          <w:rFonts w:hint="default" w:ascii="Times New Roman" w:hAnsi="Times New Roman" w:eastAsia="仿宋_GB2312" w:cs="Times New Roman"/>
          <w:sz w:val="32"/>
          <w:szCs w:val="32"/>
          <w:highlight w:val="none"/>
        </w:rPr>
        <w:t>推动京蒙协作“医疗倍增”工作，全市13家医院与北京市30余家医院建立了远程合作关系，共完成远程会诊279次，组织180名医技人员到北京市的医院进行培训，各医疗机构分批次派出32名骨干医师到北京中医院等医院进行学习，建立了与北京市相关医院人才培养长效机制和远程医疗服务协作关系。2023年上半年，全市公立医院总诊疗人次1521382人,出院人次111019人,床位使用率（88.71）%，完成三四级手术9546台，全市异地就医由2019年的22.9%降至17.4%。</w:t>
      </w:r>
    </w:p>
    <w:p>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（三）多措并举，提升基层医疗服务能力。</w:t>
      </w:r>
      <w:r>
        <w:rPr>
          <w:rFonts w:hint="default" w:ascii="Times New Roman" w:hAnsi="Times New Roman" w:eastAsia="仿宋_GB2312" w:cs="Times New Roman"/>
          <w:b/>
          <w:sz w:val="32"/>
          <w:szCs w:val="32"/>
          <w:highlight w:val="none"/>
        </w:rPr>
        <w:t>一是深入实施“优质服务基层行”活动。</w:t>
      </w:r>
      <w:r>
        <w:rPr>
          <w:rFonts w:hint="default" w:ascii="Times New Roman" w:hAnsi="Times New Roman" w:eastAsia="仿宋_GB2312" w:cs="Times New Roman"/>
          <w:sz w:val="32"/>
          <w:szCs w:val="32"/>
          <w:highlight w:val="none"/>
        </w:rPr>
        <w:t>全市1</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家基层医疗卫生机构达到推荐标准、6</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家达到基本标准、2家达到社区医院标准，新建1家社区医院。投资6996万元，对大佘太等19所卫生院进行了新改扩建，各旗县区共投入433万元为基层医疗机构购置140余件设备。为全市699家村卫生室均免费配备2台指夹式脉搏血氧仪，为103家乡镇卫生院均免费配备1台制氧机，为4所卫生院配备了救护车。组织开展基层骨干卫生人才能力提升培训项目，培训全科医生、乡村医生等140人，承办了中国农村卫生协会“健康中国 赋能县域 走基层 大培训”基层卫生人员业务素质提升培训班，培训430余人次。</w:t>
      </w:r>
      <w:r>
        <w:rPr>
          <w:rFonts w:hint="default" w:ascii="Times New Roman" w:hAnsi="Times New Roman" w:eastAsia="仿宋_GB2312" w:cs="Times New Roman"/>
          <w:b/>
          <w:sz w:val="32"/>
          <w:szCs w:val="32"/>
          <w:highlight w:val="none"/>
        </w:rPr>
        <w:t>二是着力提升基本公共服务能力。</w:t>
      </w:r>
      <w:r>
        <w:rPr>
          <w:rFonts w:hint="default" w:ascii="Times New Roman" w:hAnsi="Times New Roman" w:eastAsia="仿宋_GB2312" w:cs="Times New Roman"/>
          <w:sz w:val="32"/>
          <w:szCs w:val="32"/>
          <w:highlight w:val="none"/>
        </w:rPr>
        <w:t>基本公共卫生服务补助标准提高到89元，城乡居民电子健康档案建档率达到94.49%。组建了872个家庭医生签约团队，签约率为74.03%，重点人群签约率89%。</w:t>
      </w:r>
      <w:r>
        <w:rPr>
          <w:rFonts w:hint="default" w:ascii="Times New Roman" w:hAnsi="Times New Roman" w:eastAsia="仿宋_GB2312" w:cs="Times New Roman"/>
          <w:b/>
          <w:bCs/>
          <w:sz w:val="32"/>
          <w:szCs w:val="32"/>
          <w:highlight w:val="none"/>
        </w:rPr>
        <w:t>三是全面推进乡村振兴重点工作。</w:t>
      </w:r>
      <w:r>
        <w:rPr>
          <w:rFonts w:hint="default" w:ascii="Times New Roman" w:hAnsi="Times New Roman" w:eastAsia="仿宋_GB2312" w:cs="Times New Roman"/>
          <w:sz w:val="32"/>
          <w:szCs w:val="32"/>
          <w:highlight w:val="none"/>
        </w:rPr>
        <w:t>对脱贫人口和重点监测人口进行动态监测预警，及时核实核准，开展常态化健康帮扶监测。截至目前，完成第三季度确定的监测对象（1939户3892人）慢病、大病和家庭医生签约等健康帮扶政策落实情况的摸排调查，共核实确定慢病患者1263人，大病患者576人，配合落实基本医保、大病保险、医疗救助等医疗保障政策。</w:t>
      </w:r>
    </w:p>
    <w:p>
      <w:pPr>
        <w:adjustRightInd w:val="0"/>
        <w:snapToGrid w:val="0"/>
        <w:spacing w:line="560" w:lineRule="exact"/>
        <w:ind w:firstLine="643"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楷体_GB2312" w:cs="Times New Roman"/>
          <w:b/>
          <w:bCs/>
          <w:sz w:val="32"/>
          <w:szCs w:val="32"/>
          <w:highlight w:val="none"/>
        </w:rPr>
        <w:t>（四）中医药传承创新发展提质增速。</w:t>
      </w:r>
      <w:r>
        <w:rPr>
          <w:rFonts w:hint="default" w:ascii="Times New Roman" w:hAnsi="Times New Roman" w:eastAsia="仿宋_GB2312" w:cs="Times New Roman"/>
          <w:kern w:val="0"/>
          <w:sz w:val="32"/>
          <w:szCs w:val="32"/>
          <w:highlight w:val="none"/>
          <w:lang w:bidi="ar"/>
        </w:rPr>
        <w:t>系统推进中医药高质量发展，印发中医药（蒙医药）“十四五”规划实施方案，制定振兴中医药（蒙医药）行动2023年重点任务清单，北京中医医院内蒙古医院获批建设内蒙古西部地区“西学中”培训基地和自治区中医优势特色培训基地。</w:t>
      </w:r>
      <w:r>
        <w:rPr>
          <w:rFonts w:hint="default" w:ascii="Times New Roman" w:hAnsi="Times New Roman" w:eastAsia="仿宋_GB2312" w:cs="Times New Roman"/>
          <w:b/>
          <w:bCs/>
          <w:kern w:val="0"/>
          <w:sz w:val="32"/>
          <w:szCs w:val="32"/>
          <w:highlight w:val="none"/>
          <w:lang w:bidi="ar"/>
        </w:rPr>
        <w:t>推进中医药（蒙医药）服务能力提升，</w:t>
      </w:r>
      <w:r>
        <w:rPr>
          <w:rFonts w:hint="default" w:ascii="Times New Roman" w:hAnsi="Times New Roman" w:eastAsia="仿宋_GB2312" w:cs="Times New Roman"/>
          <w:kern w:val="0"/>
          <w:sz w:val="32"/>
          <w:szCs w:val="32"/>
          <w:highlight w:val="none"/>
          <w:lang w:bidi="ar"/>
        </w:rPr>
        <w:t>北京中医医院内蒙古医院、市蒙医医院获批自治区中医药（蒙医药）适宜技术推广指导中心，6家二级中医（蒙医）医院获批适宜技术推广中心。开展县域基层中蒙医人员适宜技术培训，培养基层骨干21名，培训基层医疗技术服务人员1072名，推广中医药（蒙医药）适宜技术6类45项。</w:t>
      </w:r>
      <w:r>
        <w:rPr>
          <w:rFonts w:hint="default" w:ascii="Times New Roman" w:hAnsi="Times New Roman" w:eastAsia="仿宋" w:cs="Times New Roman"/>
          <w:b/>
          <w:bCs/>
          <w:sz w:val="32"/>
          <w:szCs w:val="32"/>
          <w:highlight w:val="none"/>
        </w:rPr>
        <w:t>推进中医药（蒙医药）文化传承，</w:t>
      </w:r>
      <w:r>
        <w:rPr>
          <w:rFonts w:hint="default" w:ascii="Times New Roman" w:hAnsi="Times New Roman" w:eastAsia="仿宋" w:cs="Times New Roman"/>
          <w:sz w:val="32"/>
          <w:szCs w:val="32"/>
          <w:highlight w:val="none"/>
        </w:rPr>
        <w:t>制定</w:t>
      </w:r>
      <w:r>
        <w:rPr>
          <w:rFonts w:hint="default" w:ascii="Times New Roman" w:hAnsi="Times New Roman" w:eastAsia="仿宋_GB2312" w:cs="Times New Roman"/>
          <w:kern w:val="0"/>
          <w:sz w:val="32"/>
          <w:szCs w:val="32"/>
          <w:highlight w:val="none"/>
          <w:lang w:bidi="ar"/>
        </w:rPr>
        <w:t>中医药蒙医药文化宣传活动实施方案，打造中医药文化知识角和中医健康宣传广场，开展13场次中医药文化社团活动。</w:t>
      </w:r>
    </w:p>
    <w:p>
      <w:pPr>
        <w:adjustRightInd w:val="0"/>
        <w:snapToGrid w:val="0"/>
        <w:spacing w:line="560" w:lineRule="exact"/>
        <w:ind w:firstLine="643"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b/>
          <w:bCs/>
          <w:sz w:val="32"/>
          <w:szCs w:val="32"/>
          <w:highlight w:val="none"/>
        </w:rPr>
        <w:t>（五）深入推进健康巴彦淖尔行动和爱国卫生运动。</w:t>
      </w:r>
      <w:r>
        <w:rPr>
          <w:rFonts w:hint="default" w:ascii="Times New Roman" w:hAnsi="Times New Roman" w:eastAsia="仿宋_GB2312" w:cs="Times New Roman"/>
          <w:sz w:val="32"/>
          <w:szCs w:val="32"/>
          <w:highlight w:val="none"/>
        </w:rPr>
        <w:t>组织召开了全市爱国卫生和健康巴彦淖尔行动工作推进会议，紧盯重点任务和考核指标完成情况，统筹推进17个专项行动，及时开展健康行动业务指导。</w:t>
      </w:r>
      <w:r>
        <w:rPr>
          <w:rFonts w:hint="default" w:ascii="Times New Roman" w:hAnsi="Times New Roman" w:eastAsia="仿宋_GB2312" w:cs="Times New Roman"/>
          <w:color w:val="000000"/>
          <w:sz w:val="32"/>
          <w:szCs w:val="32"/>
          <w:highlight w:val="none"/>
        </w:rPr>
        <w:t>在全自治区首家</w:t>
      </w:r>
      <w:r>
        <w:rPr>
          <w:rFonts w:hint="default" w:ascii="Times New Roman" w:hAnsi="Times New Roman" w:eastAsia="仿宋_GB2312" w:cs="Times New Roman"/>
          <w:sz w:val="32"/>
          <w:szCs w:val="32"/>
          <w:highlight w:val="none"/>
        </w:rPr>
        <w:t>通过国家卫生城市复审，高质量完成4个</w:t>
      </w:r>
      <w:r>
        <w:rPr>
          <w:rFonts w:hint="default" w:ascii="Times New Roman" w:hAnsi="Times New Roman" w:eastAsia="楷体" w:cs="Times New Roman"/>
          <w:sz w:val="32"/>
          <w:szCs w:val="32"/>
          <w:highlight w:val="none"/>
        </w:rPr>
        <w:t>（磴口县、五原县、乌拉特中旗、乌拉特前旗）</w:t>
      </w:r>
      <w:r>
        <w:rPr>
          <w:rFonts w:hint="default" w:ascii="Times New Roman" w:hAnsi="Times New Roman" w:eastAsia="仿宋_GB2312" w:cs="Times New Roman"/>
          <w:sz w:val="32"/>
          <w:szCs w:val="32"/>
          <w:highlight w:val="none"/>
        </w:rPr>
        <w:t>国家卫生旗县复审，新申报国家卫生苏木乡镇13个。</w:t>
      </w:r>
      <w:r>
        <w:rPr>
          <w:rFonts w:hint="default" w:ascii="Times New Roman" w:hAnsi="Times New Roman" w:eastAsia="仿宋_GB2312" w:cs="Times New Roman"/>
          <w:color w:val="000000"/>
          <w:sz w:val="32"/>
          <w:szCs w:val="32"/>
          <w:highlight w:val="none"/>
        </w:rPr>
        <w:t>开展健康知识普及、健康教育与促进行动，居民健康素养水平达到28.7%。</w:t>
      </w:r>
    </w:p>
    <w:p>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（六）重点人群健康服务保障进一步加强。</w:t>
      </w:r>
      <w:r>
        <w:rPr>
          <w:rFonts w:hint="default" w:ascii="Times New Roman" w:hAnsi="Times New Roman" w:eastAsia="仿宋_GB2312" w:cs="Times New Roman"/>
          <w:b/>
          <w:bCs/>
          <w:sz w:val="32"/>
          <w:szCs w:val="32"/>
          <w:highlight w:val="none"/>
        </w:rPr>
        <w:t>强化“一老一小”等重点人群健康管理服务</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Cs/>
          <w:sz w:val="32"/>
          <w:szCs w:val="32"/>
          <w:highlight w:val="none"/>
        </w:rPr>
        <w:t>申报创建全国医养结合示范县1个，</w:t>
      </w:r>
      <w:r>
        <w:rPr>
          <w:rFonts w:hint="default" w:ascii="Times New Roman" w:hAnsi="Times New Roman" w:eastAsia="仿宋_GB2312" w:cs="Times New Roman"/>
          <w:sz w:val="32"/>
          <w:szCs w:val="32"/>
          <w:highlight w:val="none"/>
        </w:rPr>
        <w:t>建成2个医养结合社区示范中心、3个自治区医养结合示范单位。2个社区创建成为全国示范性老年友好型社区、3个社区列为培育试点。我市被确定为自治区第一批老年医学科建设试点市。65岁以上老年人健康管理率达到70%以上，高血压和糖尿病患者规范管理率均超过80%。</w:t>
      </w:r>
      <w:r>
        <w:rPr>
          <w:rFonts w:hint="default" w:ascii="Times New Roman" w:hAnsi="Times New Roman" w:eastAsia="仿宋_GB2312" w:cs="Times New Roman"/>
          <w:b/>
          <w:bCs/>
          <w:sz w:val="32"/>
          <w:szCs w:val="32"/>
          <w:highlight w:val="none"/>
        </w:rPr>
        <w:t>提升妇幼健康服务。</w:t>
      </w:r>
      <w:r>
        <w:rPr>
          <w:rFonts w:hint="default" w:ascii="Times New Roman" w:hAnsi="Times New Roman" w:eastAsia="仿宋_GB2312" w:cs="Times New Roman"/>
          <w:sz w:val="32"/>
          <w:szCs w:val="32"/>
          <w:highlight w:val="none"/>
        </w:rPr>
        <w:t>进一步完善以妇幼保健机构为核心、基层医疗卫生机构为基础、综合医院、专科医院为支撑的妇幼健康服务网络。持续做好农村牧区适龄妇女“两癌”筛查工作，完成率达到100%。以实施母婴安全行动和儿童健康行动计划为抓手，巩固母婴五项制度，持续保障母婴安全。</w:t>
      </w:r>
      <w:r>
        <w:rPr>
          <w:rFonts w:hint="default" w:ascii="Times New Roman" w:hAnsi="Times New Roman" w:eastAsia="仿宋_GB2312" w:cs="Times New Roman"/>
          <w:b/>
          <w:sz w:val="32"/>
          <w:szCs w:val="32"/>
          <w:highlight w:val="none"/>
        </w:rPr>
        <w:t>提高人口家庭服务水平。</w:t>
      </w:r>
      <w:r>
        <w:rPr>
          <w:rFonts w:hint="default" w:ascii="Times New Roman" w:hAnsi="Times New Roman" w:eastAsia="仿宋_GB2312" w:cs="Times New Roman"/>
          <w:sz w:val="32"/>
          <w:szCs w:val="32"/>
          <w:highlight w:val="none"/>
        </w:rPr>
        <w:t>计生家庭奖励扶助制度受益11572人、计生家庭特别扶助制度受益1348人。投入17万元为失独家庭846人办理住陪护理补贴险。投入380万为7.6万人购买计生保险。争取到上级计生协5个项目33万资金支持。开展家庭健康促进行动，新建1个家庭健康指导中心，培训家庭健康指导员894人，实现了覆盖50%以上村(社区)的目标。</w:t>
      </w:r>
    </w:p>
    <w:p>
      <w:pPr>
        <w:pStyle w:val="22"/>
        <w:widowControl w:val="0"/>
        <w:adjustRightInd w:val="0"/>
        <w:snapToGrid w:val="0"/>
        <w:spacing w:line="560" w:lineRule="exact"/>
        <w:ind w:firstLine="643"/>
        <w:rPr>
          <w:rFonts w:ascii="Times New Roman" w:hAnsi="Times New Roman" w:eastAsia="Times New Roman" w:cs="Times New Roman"/>
          <w:kern w:val="0"/>
          <w:sz w:val="24"/>
        </w:rPr>
      </w:pPr>
      <w:r>
        <w:rPr>
          <w:rFonts w:hint="default" w:ascii="Times New Roman" w:hAnsi="Times New Roman" w:eastAsia="楷体_GB2312" w:cs="Times New Roman"/>
          <w:b/>
          <w:bCs/>
          <w:color w:val="auto"/>
          <w:kern w:val="2"/>
          <w:sz w:val="32"/>
          <w:szCs w:val="32"/>
          <w:highlight w:val="none"/>
        </w:rPr>
        <w:t>（七）完善信息化建设，促进信息互联互通。</w:t>
      </w:r>
      <w:r>
        <w:rPr>
          <w:rFonts w:hint="default" w:ascii="Times New Roman" w:hAnsi="Times New Roman" w:eastAsia="仿宋_GB2312" w:cs="Times New Roman"/>
          <w:b/>
          <w:bCs/>
          <w:sz w:val="32"/>
          <w:szCs w:val="32"/>
          <w:highlight w:val="none"/>
        </w:rPr>
        <w:t>一是</w:t>
      </w:r>
      <w:r>
        <w:rPr>
          <w:rFonts w:hint="default" w:ascii="Times New Roman" w:hAnsi="Times New Roman" w:eastAsia="仿宋_GB2312" w:cs="Times New Roman"/>
          <w:sz w:val="32"/>
          <w:szCs w:val="32"/>
          <w:highlight w:val="none"/>
        </w:rPr>
        <w:t>按照全民健康信息平台建设标准要求，完成了与自治区平台的数据接口标准化升级改造，18家二级医疗机构完成与市级平台的数据对接。目前已收集建立本地化全员人口信息数据150万条，电子健康档案169万份，电子病历数据6000余万条。</w:t>
      </w:r>
      <w:r>
        <w:rPr>
          <w:rFonts w:hint="default" w:ascii="Times New Roman" w:hAnsi="Times New Roman" w:eastAsia="仿宋_GB2312" w:cs="Times New Roman"/>
          <w:b/>
          <w:bCs/>
          <w:sz w:val="32"/>
          <w:szCs w:val="32"/>
          <w:highlight w:val="none"/>
        </w:rPr>
        <w:t>二是</w:t>
      </w:r>
      <w:r>
        <w:rPr>
          <w:rFonts w:hint="default" w:ascii="Times New Roman" w:hAnsi="Times New Roman" w:eastAsia="仿宋_GB2312" w:cs="Times New Roman"/>
          <w:sz w:val="32"/>
          <w:szCs w:val="32"/>
          <w:highlight w:val="none"/>
        </w:rPr>
        <w:t>二级医院和三级医院分别按照《医院信息化标准和规范》，开展了医院信息化提档升级，三级医院电子病历应用水平达到了4级标准。</w:t>
      </w:r>
      <w:r>
        <w:rPr>
          <w:rFonts w:hint="default" w:ascii="Times New Roman" w:hAnsi="Times New Roman" w:eastAsia="仿宋_GB2312" w:cs="Times New Roman"/>
          <w:b/>
          <w:sz w:val="32"/>
          <w:szCs w:val="32"/>
          <w:highlight w:val="none"/>
        </w:rPr>
        <w:t>三是</w:t>
      </w:r>
      <w:r>
        <w:rPr>
          <w:rFonts w:hint="default" w:ascii="Times New Roman" w:hAnsi="Times New Roman" w:eastAsia="仿宋_GB2312" w:cs="Times New Roman"/>
          <w:sz w:val="32"/>
          <w:szCs w:val="32"/>
          <w:highlight w:val="none"/>
        </w:rPr>
        <w:t>旗县区医院年内全部完成互联网医院建设，为群众提供互联网预约诊疗、处方开具、查询检查检验结果、移动支付等功能。</w:t>
      </w:r>
    </w:p>
    <w:p>
      <w:pPr>
        <w:pStyle w:val="4"/>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单位决算情况说明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pPr>
        <w:widowControl/>
        <w:spacing w:before="240" w:after="240"/>
        <w:rPr>
          <w:rFonts w:hint="eastAsia" w:ascii="仿宋" w:hAnsi="仿宋" w:eastAsia="仿宋" w:cs="仿宋"/>
          <w:color w:val="FF0000"/>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内蒙古自治区巴彦淖尔市卫生健康委员会（本级） 2023年度收入、支出决算总计</w:t>
      </w:r>
      <w:r>
        <w:rPr>
          <w:rFonts w:hint="eastAsia" w:ascii="仿宋" w:hAnsi="仿宋" w:eastAsia="仿宋" w:cs="仿宋"/>
          <w:kern w:val="0"/>
          <w:sz w:val="32"/>
          <w:szCs w:val="32"/>
          <w:u w:val="single"/>
        </w:rPr>
        <w:t xml:space="preserve"> 2,632.91</w:t>
      </w:r>
      <w:r>
        <w:rPr>
          <w:rFonts w:hint="eastAsia" w:ascii="仿宋" w:hAnsi="仿宋" w:eastAsia="仿宋" w:cs="仿宋"/>
          <w:kern w:val="0"/>
          <w:sz w:val="32"/>
          <w:szCs w:val="32"/>
        </w:rPr>
        <w:t>万元。与年初预算</w:t>
      </w:r>
      <w:r>
        <w:rPr>
          <w:rFonts w:hint="eastAsia" w:ascii="仿宋" w:hAnsi="仿宋" w:eastAsia="仿宋" w:cs="仿宋"/>
          <w:color w:val="auto"/>
          <w:kern w:val="0"/>
          <w:sz w:val="32"/>
          <w:szCs w:val="32"/>
        </w:rPr>
        <w:t>相比，收、支总计各</w:t>
      </w:r>
      <w:r>
        <w:rPr>
          <w:rFonts w:hint="eastAsia" w:ascii="仿宋" w:hAnsi="仿宋" w:eastAsia="仿宋" w:cs="仿宋"/>
          <w:color w:val="auto"/>
          <w:kern w:val="0"/>
          <w:sz w:val="32"/>
          <w:szCs w:val="32"/>
          <w:lang w:eastAsia="zh-CN"/>
        </w:rPr>
        <w:t>增加</w:t>
      </w:r>
      <w:r>
        <w:rPr>
          <w:rFonts w:hint="eastAsia" w:ascii="仿宋" w:hAnsi="仿宋" w:eastAsia="仿宋" w:cs="仿宋"/>
          <w:color w:val="auto"/>
          <w:kern w:val="0"/>
          <w:sz w:val="32"/>
          <w:szCs w:val="32"/>
          <w:u w:val="single"/>
          <w:lang w:val="en-US" w:eastAsia="zh-CN"/>
        </w:rPr>
        <w:t>820.42</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eastAsia="zh-CN"/>
        </w:rPr>
        <w:t>增长</w:t>
      </w:r>
      <w:r>
        <w:rPr>
          <w:rFonts w:hint="eastAsia" w:ascii="仿宋" w:hAnsi="仿宋" w:eastAsia="仿宋" w:cs="仿宋"/>
          <w:color w:val="auto"/>
          <w:kern w:val="0"/>
          <w:sz w:val="32"/>
          <w:szCs w:val="32"/>
          <w:u w:val="single"/>
          <w:lang w:val="en-US" w:eastAsia="zh-CN"/>
        </w:rPr>
        <w:t>45.26</w:t>
      </w:r>
      <w:r>
        <w:rPr>
          <w:rFonts w:hint="eastAsia" w:ascii="仿宋" w:hAnsi="仿宋" w:eastAsia="仿宋" w:cs="仿宋"/>
          <w:color w:val="auto"/>
          <w:kern w:val="0"/>
          <w:sz w:val="32"/>
          <w:szCs w:val="32"/>
        </w:rPr>
        <w:t>%，变动原因：</w:t>
      </w:r>
      <w:r>
        <w:rPr>
          <w:rFonts w:hint="eastAsia" w:ascii="仿宋" w:hAnsi="仿宋" w:eastAsia="仿宋" w:cs="仿宋"/>
          <w:color w:val="auto"/>
          <w:kern w:val="0"/>
          <w:sz w:val="32"/>
          <w:szCs w:val="32"/>
          <w:lang w:val="en-US" w:eastAsia="zh-CN"/>
        </w:rPr>
        <w:t>决算中包含上级补助资金</w:t>
      </w:r>
      <w:r>
        <w:rPr>
          <w:rFonts w:hint="eastAsia" w:ascii="仿宋" w:hAnsi="仿宋" w:eastAsia="仿宋" w:cs="仿宋"/>
          <w:color w:val="auto"/>
          <w:kern w:val="0"/>
          <w:sz w:val="32"/>
          <w:szCs w:val="32"/>
        </w:rPr>
        <w:t>；</w:t>
      </w:r>
      <w:r>
        <w:rPr>
          <w:rFonts w:hint="eastAsia" w:ascii="仿宋" w:hAnsi="仿宋" w:eastAsia="仿宋" w:cs="仿宋"/>
          <w:kern w:val="0"/>
          <w:sz w:val="32"/>
          <w:szCs w:val="32"/>
        </w:rPr>
        <w:t>与上年决算相比，收、支总计各增加</w:t>
      </w:r>
      <w:r>
        <w:rPr>
          <w:rFonts w:hint="eastAsia" w:ascii="仿宋" w:hAnsi="仿宋" w:eastAsia="仿宋" w:cs="仿宋"/>
          <w:kern w:val="0"/>
          <w:sz w:val="32"/>
          <w:szCs w:val="32"/>
          <w:u w:val="single"/>
        </w:rPr>
        <w:t>130.79</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5.23</w:t>
      </w:r>
      <w:r>
        <w:rPr>
          <w:rFonts w:hint="eastAsia" w:ascii="仿宋" w:hAnsi="仿宋" w:eastAsia="仿宋" w:cs="仿宋"/>
          <w:kern w:val="0"/>
          <w:sz w:val="32"/>
          <w:szCs w:val="32"/>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hint="eastAsia" w:ascii="仿宋" w:hAnsi="仿宋" w:eastAsia="仿宋" w:cs="仿宋"/>
          <w:b/>
          <w:bCs/>
          <w:kern w:val="0"/>
          <w:sz w:val="32"/>
          <w:szCs w:val="32"/>
          <w:u w:val="single"/>
        </w:rPr>
        <w:t xml:space="preserve"> 2,632.91</w:t>
      </w:r>
      <w:r>
        <w:rPr>
          <w:rFonts w:ascii="kai_ti_gb2312" w:hAnsi="kai_ti_gb2312" w:eastAsia="kai_ti_gb2312" w:cs="kai_ti_gb2312"/>
          <w:b/>
          <w:bCs/>
          <w:kern w:val="0"/>
          <w:sz w:val="27"/>
          <w:szCs w:val="27"/>
        </w:rPr>
        <w:t>万元。包括：</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1.本年收入决算合计</w:t>
      </w:r>
      <w:r>
        <w:rPr>
          <w:rFonts w:hint="eastAsia" w:ascii="仿宋" w:hAnsi="仿宋" w:eastAsia="仿宋" w:cs="仿宋"/>
          <w:kern w:val="0"/>
          <w:sz w:val="32"/>
          <w:szCs w:val="32"/>
          <w:u w:val="single"/>
        </w:rPr>
        <w:t xml:space="preserve"> 2,226.37</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303.37</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15.78</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人员经费和项目支出都有所增长</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2.使用非财政拨款结余和专用结余</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%，变动原因：</w:t>
      </w:r>
      <w:r>
        <w:rPr>
          <w:rFonts w:hint="eastAsia" w:ascii="仿宋" w:hAnsi="仿宋" w:eastAsia="仿宋" w:cs="仿宋"/>
          <w:kern w:val="0"/>
          <w:sz w:val="32"/>
          <w:szCs w:val="32"/>
          <w:lang w:eastAsia="zh-CN"/>
        </w:rPr>
        <w:t>无</w:t>
      </w:r>
      <w:r>
        <w:rPr>
          <w:rFonts w:hint="eastAsia" w:ascii="仿宋" w:hAnsi="仿宋" w:eastAsia="仿宋" w:cs="仿宋"/>
          <w:kern w:val="0"/>
          <w:sz w:val="32"/>
          <w:szCs w:val="32"/>
        </w:rPr>
        <w:t>非财政拨款结余和专用结余。</w:t>
      </w:r>
    </w:p>
    <w:p>
      <w:pPr>
        <w:spacing w:line="560" w:lineRule="exact"/>
        <w:ind w:firstLine="640" w:firstLineChars="200"/>
        <w:jc w:val="both"/>
        <w:rPr>
          <w:rFonts w:hint="default" w:ascii="Times New Roman" w:hAnsi="Times New Roman" w:eastAsia="Times New Roman"/>
          <w:color w:val="auto"/>
          <w:kern w:val="2"/>
          <w:sz w:val="32"/>
          <w:szCs w:val="24"/>
        </w:rPr>
      </w:pPr>
      <w:r>
        <w:rPr>
          <w:rFonts w:hint="eastAsia" w:ascii="仿宋" w:hAnsi="仿宋" w:eastAsia="仿宋" w:cs="仿宋"/>
          <w:kern w:val="0"/>
          <w:sz w:val="32"/>
          <w:szCs w:val="32"/>
        </w:rPr>
        <w:t xml:space="preserve">3.年初结转和结余 </w:t>
      </w:r>
      <w:r>
        <w:rPr>
          <w:rFonts w:hint="eastAsia" w:ascii="仿宋" w:hAnsi="仿宋" w:eastAsia="仿宋" w:cs="仿宋"/>
          <w:kern w:val="0"/>
          <w:sz w:val="32"/>
          <w:szCs w:val="32"/>
          <w:u w:val="single"/>
        </w:rPr>
        <w:t>406.54</w:t>
      </w:r>
      <w:r>
        <w:rPr>
          <w:rFonts w:hint="eastAsia" w:ascii="仿宋" w:hAnsi="仿宋" w:eastAsia="仿宋" w:cs="仿宋"/>
          <w:kern w:val="0"/>
          <w:sz w:val="32"/>
          <w:szCs w:val="32"/>
        </w:rPr>
        <w:t>万元。与上年决算相比，减少</w:t>
      </w:r>
      <w:r>
        <w:rPr>
          <w:rFonts w:hint="eastAsia" w:ascii="仿宋" w:hAnsi="仿宋" w:eastAsia="仿宋" w:cs="仿宋"/>
          <w:kern w:val="0"/>
          <w:sz w:val="32"/>
          <w:szCs w:val="32"/>
          <w:u w:val="single"/>
        </w:rPr>
        <w:t>172.58</w:t>
      </w:r>
      <w:r>
        <w:rPr>
          <w:rFonts w:hint="eastAsia" w:ascii="仿宋" w:hAnsi="仿宋" w:eastAsia="仿宋" w:cs="仿宋"/>
          <w:kern w:val="0"/>
          <w:sz w:val="32"/>
          <w:szCs w:val="32"/>
        </w:rPr>
        <w:t>万元，减少</w:t>
      </w:r>
      <w:r>
        <w:rPr>
          <w:rFonts w:hint="eastAsia" w:ascii="仿宋" w:hAnsi="仿宋" w:eastAsia="仿宋" w:cs="仿宋"/>
          <w:kern w:val="0"/>
          <w:sz w:val="32"/>
          <w:szCs w:val="32"/>
          <w:u w:val="single"/>
        </w:rPr>
        <w:t>29.80</w:t>
      </w:r>
      <w:r>
        <w:rPr>
          <w:rFonts w:hint="eastAsia" w:ascii="仿宋" w:hAnsi="仿宋" w:eastAsia="仿宋" w:cs="仿宋"/>
          <w:kern w:val="0"/>
          <w:sz w:val="32"/>
          <w:szCs w:val="32"/>
        </w:rPr>
        <w:t>%，变动原因：</w:t>
      </w:r>
      <w:r>
        <w:rPr>
          <w:rFonts w:hint="eastAsia" w:ascii="仿宋" w:hAnsi="仿宋" w:eastAsia="仿宋" w:cs="仿宋"/>
          <w:color w:val="auto"/>
          <w:kern w:val="2"/>
          <w:sz w:val="32"/>
          <w:szCs w:val="32"/>
          <w:lang w:val="en-US" w:eastAsia="zh-CN"/>
        </w:rPr>
        <w:t>加快资金当年拨付支出进度</w:t>
      </w:r>
      <w:r>
        <w:rPr>
          <w:rFonts w:hint="eastAsia" w:ascii="仿宋" w:hAnsi="仿宋" w:eastAsia="仿宋" w:cs="仿宋"/>
          <w:color w:val="auto"/>
          <w:kern w:val="2"/>
          <w:sz w:val="32"/>
          <w:szCs w:val="32"/>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hint="eastAsia" w:ascii="仿宋" w:hAnsi="仿宋" w:eastAsia="仿宋" w:cs="仿宋"/>
          <w:b/>
          <w:bCs/>
          <w:kern w:val="0"/>
          <w:sz w:val="32"/>
          <w:szCs w:val="32"/>
          <w:u w:val="single"/>
        </w:rPr>
        <w:t xml:space="preserve"> 2,632.91</w:t>
      </w:r>
      <w:r>
        <w:rPr>
          <w:rFonts w:ascii="kai_ti_gb2312" w:hAnsi="kai_ti_gb2312" w:eastAsia="kai_ti_gb2312" w:cs="kai_ti_gb2312"/>
          <w:b/>
          <w:bCs/>
          <w:kern w:val="0"/>
          <w:sz w:val="27"/>
          <w:szCs w:val="27"/>
        </w:rPr>
        <w:t>万元。包括：</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1.本年支出决算合计</w:t>
      </w:r>
      <w:r>
        <w:rPr>
          <w:rFonts w:hint="eastAsia" w:ascii="仿宋" w:hAnsi="仿宋" w:eastAsia="仿宋" w:cs="仿宋"/>
          <w:kern w:val="0"/>
          <w:sz w:val="32"/>
          <w:szCs w:val="32"/>
          <w:u w:val="single"/>
        </w:rPr>
        <w:t xml:space="preserve"> 2,165.94</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82.53</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3.96</w:t>
      </w:r>
      <w:r>
        <w:rPr>
          <w:rFonts w:hint="eastAsia" w:ascii="仿宋" w:hAnsi="仿宋" w:eastAsia="仿宋" w:cs="仿宋"/>
          <w:kern w:val="0"/>
          <w:sz w:val="32"/>
          <w:szCs w:val="32"/>
        </w:rPr>
        <w:t>%，变动原因：</w:t>
      </w:r>
      <w:r>
        <w:rPr>
          <w:rFonts w:hint="eastAsia" w:ascii="仿宋" w:hAnsi="仿宋" w:eastAsia="仿宋" w:cs="仿宋"/>
          <w:color w:val="auto"/>
          <w:kern w:val="2"/>
          <w:sz w:val="32"/>
          <w:szCs w:val="32"/>
          <w:lang w:val="en-US" w:eastAsia="zh-CN"/>
        </w:rPr>
        <w:t>加快资金当年拨付支出进度</w:t>
      </w:r>
      <w:r>
        <w:rPr>
          <w:rFonts w:hint="eastAsia" w:ascii="仿宋" w:hAnsi="仿宋" w:eastAsia="仿宋" w:cs="仿宋"/>
          <w:color w:val="auto"/>
          <w:kern w:val="2"/>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2.结余分配</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万元。结余分配事项：</w:t>
      </w:r>
      <w:r>
        <w:rPr>
          <w:rFonts w:hint="eastAsia" w:ascii="仿宋" w:hAnsi="仿宋" w:eastAsia="仿宋" w:cs="仿宋"/>
          <w:kern w:val="0"/>
          <w:sz w:val="32"/>
          <w:szCs w:val="32"/>
          <w:lang w:val="en-US" w:eastAsia="zh-CN"/>
        </w:rPr>
        <w:t>无结余分配</w:t>
      </w:r>
      <w:r>
        <w:rPr>
          <w:rFonts w:hint="eastAsia" w:ascii="仿宋" w:hAnsi="仿宋" w:eastAsia="仿宋" w:cs="仿宋"/>
          <w:kern w:val="0"/>
          <w:sz w:val="32"/>
          <w:szCs w:val="32"/>
        </w:rPr>
        <w:t>。与上年决算相比，增加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无结余分配</w:t>
      </w:r>
      <w:r>
        <w:rPr>
          <w:rFonts w:hint="eastAsia" w:ascii="仿宋" w:hAnsi="仿宋" w:eastAsia="仿宋" w:cs="仿宋"/>
          <w:kern w:val="0"/>
          <w:sz w:val="32"/>
          <w:szCs w:val="32"/>
        </w:rPr>
        <w:t>。</w:t>
      </w:r>
    </w:p>
    <w:p>
      <w:pPr>
        <w:widowControl/>
        <w:spacing w:before="240" w:after="240"/>
        <w:rPr>
          <w:rFonts w:ascii="Times New Roman" w:hAnsi="Times New Roman" w:eastAsia="Times New Roman" w:cs="Times New Roman"/>
          <w:kern w:val="0"/>
          <w:sz w:val="24"/>
        </w:rPr>
      </w:pPr>
      <w:r>
        <w:rPr>
          <w:rFonts w:hint="eastAsia" w:ascii="仿宋" w:hAnsi="仿宋" w:eastAsia="仿宋" w:cs="仿宋"/>
          <w:kern w:val="0"/>
          <w:sz w:val="32"/>
          <w:szCs w:val="32"/>
        </w:rPr>
        <w:t>    3.年末结转和结余</w:t>
      </w:r>
      <w:r>
        <w:rPr>
          <w:rFonts w:hint="eastAsia" w:ascii="仿宋" w:hAnsi="仿宋" w:eastAsia="仿宋" w:cs="仿宋"/>
          <w:kern w:val="0"/>
          <w:sz w:val="32"/>
          <w:szCs w:val="32"/>
          <w:u w:val="single"/>
        </w:rPr>
        <w:t xml:space="preserve"> 466.97</w:t>
      </w:r>
      <w:r>
        <w:rPr>
          <w:rFonts w:hint="eastAsia" w:ascii="仿宋" w:hAnsi="仿宋" w:eastAsia="仿宋" w:cs="仿宋"/>
          <w:kern w:val="0"/>
          <w:sz w:val="32"/>
          <w:szCs w:val="32"/>
        </w:rPr>
        <w:t>万元。结转和结余事项：</w:t>
      </w:r>
      <w:r>
        <w:rPr>
          <w:rFonts w:hint="eastAsia" w:ascii="仿宋" w:hAnsi="仿宋" w:eastAsia="仿宋" w:cs="仿宋"/>
          <w:kern w:val="0"/>
          <w:sz w:val="32"/>
          <w:szCs w:val="32"/>
          <w:lang w:val="en-US" w:eastAsia="zh-CN"/>
        </w:rPr>
        <w:t>本年市红十字会疫情防控经费60.21万元结余，其余为以前年度结转和结余。</w:t>
      </w:r>
      <w:r>
        <w:rPr>
          <w:rFonts w:hint="eastAsia" w:ascii="仿宋" w:hAnsi="仿宋" w:eastAsia="仿宋" w:cs="仿宋"/>
          <w:kern w:val="0"/>
          <w:sz w:val="32"/>
          <w:szCs w:val="32"/>
        </w:rPr>
        <w:t>与上年决算相比，增加</w:t>
      </w:r>
      <w:r>
        <w:rPr>
          <w:rFonts w:hint="eastAsia" w:ascii="仿宋" w:hAnsi="仿宋" w:eastAsia="仿宋" w:cs="仿宋"/>
          <w:kern w:val="0"/>
          <w:sz w:val="32"/>
          <w:szCs w:val="32"/>
          <w:u w:val="single"/>
        </w:rPr>
        <w:t>48.25</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11.52</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项目根据工作实际情况支出</w:t>
      </w:r>
      <w:r>
        <w:rPr>
          <w:rFonts w:hint="eastAsia" w:ascii="仿宋" w:hAnsi="仿宋" w:eastAsia="仿宋" w:cs="仿宋"/>
          <w:kern w:val="0"/>
          <w:sz w:val="32"/>
          <w:szCs w:val="32"/>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内蒙古自治区巴彦淖尔市卫生健康委员会（本级） 2023年度本年收入决算合计</w:t>
      </w:r>
      <w:r>
        <w:rPr>
          <w:rFonts w:hint="eastAsia" w:ascii="仿宋" w:hAnsi="仿宋" w:eastAsia="仿宋" w:cs="仿宋"/>
          <w:kern w:val="0"/>
          <w:sz w:val="32"/>
          <w:szCs w:val="32"/>
          <w:u w:val="single"/>
        </w:rPr>
        <w:t xml:space="preserve"> 2,226.37</w:t>
      </w:r>
      <w:r>
        <w:rPr>
          <w:rFonts w:hint="eastAsia" w:ascii="仿宋" w:hAnsi="仿宋" w:eastAsia="仿宋" w:cs="仿宋"/>
          <w:kern w:val="0"/>
          <w:sz w:val="32"/>
          <w:szCs w:val="32"/>
        </w:rPr>
        <w:t>万元，其中：</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本年一般公共预算财政拨款收入</w:t>
      </w:r>
      <w:r>
        <w:rPr>
          <w:rFonts w:hint="eastAsia" w:ascii="仿宋" w:hAnsi="仿宋" w:eastAsia="仿宋" w:cs="仿宋"/>
          <w:kern w:val="0"/>
          <w:sz w:val="32"/>
          <w:szCs w:val="32"/>
          <w:u w:val="single"/>
        </w:rPr>
        <w:t xml:space="preserve"> 2,165.66</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97.27</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本年政府性基金预算财政拨款收入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本年国有资本经营预算财政拨款收入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本年上级补助收入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本年事业收入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本年经营收入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本年附属单位上缴收入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本年其他收入</w:t>
      </w:r>
      <w:r>
        <w:rPr>
          <w:rFonts w:hint="eastAsia" w:ascii="仿宋" w:hAnsi="仿宋" w:eastAsia="仿宋" w:cs="仿宋"/>
          <w:kern w:val="0"/>
          <w:sz w:val="32"/>
          <w:szCs w:val="32"/>
          <w:u w:val="single"/>
        </w:rPr>
        <w:t xml:space="preserve"> 60.71</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2.73</w:t>
      </w:r>
      <w:r>
        <w:rPr>
          <w:rFonts w:hint="eastAsia" w:ascii="仿宋" w:hAnsi="仿宋" w:eastAsia="仿宋" w:cs="仿宋"/>
          <w:kern w:val="0"/>
          <w:sz w:val="32"/>
          <w:szCs w:val="32"/>
        </w:rPr>
        <w:t>%。</w:t>
      </w:r>
    </w:p>
    <w:p>
      <w:pPr>
        <w:widowControl/>
        <w:spacing w:before="240" w:after="240"/>
        <w:rPr>
          <w:rFonts w:hint="eastAsia" w:ascii="Times New Roman" w:hAnsi="Times New Roman" w:eastAsia="宋体" w:cs="Times New Roman"/>
          <w:kern w:val="0"/>
          <w:sz w:val="24"/>
          <w:lang w:eastAsia="zh-CN"/>
        </w:rPr>
      </w:pPr>
      <w:r>
        <w:rPr>
          <w:rFonts w:ascii="fang_song_gb2312" w:hAnsi="fang_song_gb2312" w:eastAsia="fang_song_gb2312" w:cs="fang_song_gb2312"/>
          <w:color w:val="0E00FE"/>
          <w:kern w:val="0"/>
          <w:sz w:val="27"/>
          <w:szCs w:val="27"/>
        </w:rPr>
        <w:t xml:space="preserve">  </w:t>
      </w:r>
      <w:r>
        <w:rPr>
          <w:rFonts w:hint="eastAsia" w:ascii="Times New Roman" w:hAnsi="Times New Roman" w:eastAsia="宋体" w:cs="Times New Roman"/>
          <w:kern w:val="0"/>
          <w:sz w:val="24"/>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hint="eastAsia" w:ascii="仿宋" w:hAnsi="仿宋" w:eastAsia="仿宋" w:cs="仿宋"/>
          <w:kern w:val="0"/>
          <w:sz w:val="32"/>
          <w:szCs w:val="32"/>
        </w:rPr>
      </w:pPr>
      <w:r>
        <w:rPr>
          <w:rFonts w:hint="eastAsia" w:ascii="仿宋" w:hAnsi="仿宋" w:eastAsia="仿宋" w:cs="仿宋"/>
          <w:kern w:val="0"/>
          <w:sz w:val="32"/>
          <w:szCs w:val="32"/>
        </w:rPr>
        <w:t>图1.收入决算图</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  内蒙古自治区巴彦淖尔市卫生健康委员会（本级） 2023年度本年支出决算合计</w:t>
      </w:r>
      <w:r>
        <w:rPr>
          <w:rFonts w:hint="eastAsia" w:ascii="仿宋" w:hAnsi="仿宋" w:eastAsia="仿宋" w:cs="仿宋"/>
          <w:kern w:val="0"/>
          <w:sz w:val="32"/>
          <w:szCs w:val="32"/>
          <w:u w:val="single"/>
        </w:rPr>
        <w:t xml:space="preserve"> 2,165.94</w:t>
      </w:r>
      <w:r>
        <w:rPr>
          <w:rFonts w:hint="eastAsia" w:ascii="仿宋" w:hAnsi="仿宋" w:eastAsia="仿宋" w:cs="仿宋"/>
          <w:kern w:val="0"/>
          <w:sz w:val="32"/>
          <w:szCs w:val="32"/>
        </w:rPr>
        <w:t>万元，其中：</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本年基本支出</w:t>
      </w:r>
      <w:r>
        <w:rPr>
          <w:rFonts w:hint="eastAsia" w:ascii="仿宋" w:hAnsi="仿宋" w:eastAsia="仿宋" w:cs="仿宋"/>
          <w:kern w:val="0"/>
          <w:sz w:val="32"/>
          <w:szCs w:val="32"/>
          <w:u w:val="single"/>
        </w:rPr>
        <w:t xml:space="preserve"> 753.57</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34.79</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本年项目支出</w:t>
      </w:r>
      <w:r>
        <w:rPr>
          <w:rFonts w:hint="eastAsia" w:ascii="仿宋" w:hAnsi="仿宋" w:eastAsia="仿宋" w:cs="仿宋"/>
          <w:kern w:val="0"/>
          <w:sz w:val="32"/>
          <w:szCs w:val="32"/>
          <w:u w:val="single"/>
        </w:rPr>
        <w:t xml:space="preserve"> 1,412.37</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65.21</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本年上缴上级支出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本年经营支出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本年对附属单位补助支出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pPr>
        <w:widowControl/>
        <w:spacing w:before="240" w:after="240"/>
        <w:jc w:val="left"/>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center"/>
        <w:rPr>
          <w:rFonts w:hint="eastAsia" w:ascii="仿宋" w:hAnsi="仿宋" w:eastAsia="仿宋" w:cs="仿宋"/>
          <w:kern w:val="0"/>
          <w:sz w:val="32"/>
          <w:szCs w:val="32"/>
        </w:rPr>
      </w:pPr>
      <w:r>
        <w:rPr>
          <w:rFonts w:hint="eastAsia" w:ascii="仿宋" w:hAnsi="仿宋" w:eastAsia="仿宋" w:cs="仿宋"/>
          <w:kern w:val="0"/>
          <w:sz w:val="32"/>
          <w:szCs w:val="32"/>
        </w:rPr>
        <w:t>图2.支出决算图</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fang_song_gb2312" w:hAnsi="fang_song_gb2312" w:eastAsia="宋体" w:cs="fang_song_gb2312"/>
          <w:kern w:val="0"/>
          <w:sz w:val="27"/>
          <w:szCs w:val="27"/>
          <w:lang w:val="en-US" w:eastAsia="zh-CN"/>
        </w:rPr>
        <w:t xml:space="preserve"> </w:t>
      </w:r>
      <w:r>
        <w:rPr>
          <w:rFonts w:hint="eastAsia" w:ascii="仿宋" w:hAnsi="仿宋" w:eastAsia="仿宋" w:cs="仿宋"/>
          <w:kern w:val="0"/>
          <w:sz w:val="32"/>
          <w:szCs w:val="32"/>
        </w:rPr>
        <w:t>内蒙古自治区巴彦淖尔市卫生健康委员会（本级） 2023年度财政拨款收入、支出决算总计</w:t>
      </w:r>
      <w:r>
        <w:rPr>
          <w:rFonts w:hint="eastAsia" w:ascii="仿宋" w:hAnsi="仿宋" w:eastAsia="仿宋" w:cs="仿宋"/>
          <w:kern w:val="0"/>
          <w:sz w:val="32"/>
          <w:szCs w:val="32"/>
          <w:u w:val="single"/>
        </w:rPr>
        <w:t xml:space="preserve"> 2,288.34</w:t>
      </w:r>
      <w:r>
        <w:rPr>
          <w:rFonts w:hint="eastAsia" w:ascii="仿宋" w:hAnsi="仿宋" w:eastAsia="仿宋" w:cs="仿宋"/>
          <w:kern w:val="0"/>
          <w:sz w:val="32"/>
          <w:szCs w:val="32"/>
        </w:rPr>
        <w:t>万元，与年初预算相比，收、支总计各</w:t>
      </w:r>
      <w:r>
        <w:rPr>
          <w:rFonts w:hint="eastAsia" w:ascii="仿宋" w:hAnsi="仿宋" w:eastAsia="仿宋" w:cs="仿宋"/>
          <w:kern w:val="0"/>
          <w:sz w:val="32"/>
          <w:szCs w:val="32"/>
          <w:lang w:eastAsia="zh-CN"/>
        </w:rPr>
        <w:t>增加</w:t>
      </w:r>
      <w:r>
        <w:rPr>
          <w:rFonts w:hint="eastAsia" w:ascii="仿宋" w:hAnsi="仿宋" w:eastAsia="仿宋" w:cs="仿宋"/>
          <w:kern w:val="0"/>
          <w:sz w:val="32"/>
          <w:szCs w:val="32"/>
          <w:u w:val="single"/>
          <w:lang w:val="en-US" w:eastAsia="zh-CN"/>
        </w:rPr>
        <w:t>475.85</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增长</w:t>
      </w:r>
      <w:r>
        <w:rPr>
          <w:rFonts w:hint="eastAsia" w:ascii="仿宋" w:hAnsi="仿宋" w:eastAsia="仿宋" w:cs="仿宋"/>
          <w:kern w:val="0"/>
          <w:sz w:val="32"/>
          <w:szCs w:val="32"/>
          <w:u w:val="single"/>
          <w:lang w:val="en-US" w:eastAsia="zh-CN"/>
        </w:rPr>
        <w:t>26.29</w:t>
      </w:r>
      <w:r>
        <w:rPr>
          <w:rFonts w:hint="eastAsia" w:ascii="仿宋" w:hAnsi="仿宋" w:eastAsia="仿宋" w:cs="仿宋"/>
          <w:kern w:val="0"/>
          <w:sz w:val="32"/>
          <w:szCs w:val="32"/>
        </w:rPr>
        <w:t>%，变动原因：</w:t>
      </w:r>
      <w:r>
        <w:rPr>
          <w:rFonts w:hint="eastAsia" w:ascii="仿宋" w:hAnsi="仿宋" w:eastAsia="仿宋" w:cs="仿宋"/>
          <w:color w:val="auto"/>
          <w:kern w:val="2"/>
          <w:sz w:val="32"/>
          <w:szCs w:val="32"/>
          <w:lang w:val="en-US" w:eastAsia="zh-CN"/>
        </w:rPr>
        <w:t>决算中包含上级补助资金</w:t>
      </w:r>
      <w:r>
        <w:rPr>
          <w:rFonts w:hint="eastAsia" w:ascii="仿宋" w:hAnsi="仿宋" w:eastAsia="仿宋" w:cs="仿宋"/>
          <w:kern w:val="0"/>
          <w:sz w:val="32"/>
          <w:szCs w:val="32"/>
        </w:rPr>
        <w:t>；与上年决算相比，收、支总计各增加</w:t>
      </w:r>
      <w:r>
        <w:rPr>
          <w:rFonts w:hint="eastAsia" w:ascii="仿宋" w:hAnsi="仿宋" w:eastAsia="仿宋" w:cs="仿宋"/>
          <w:kern w:val="0"/>
          <w:sz w:val="32"/>
          <w:szCs w:val="32"/>
          <w:u w:val="single"/>
        </w:rPr>
        <w:t>79.47</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3.60</w:t>
      </w:r>
      <w:r>
        <w:rPr>
          <w:rFonts w:hint="eastAsia" w:ascii="仿宋" w:hAnsi="仿宋" w:eastAsia="仿宋" w:cs="仿宋"/>
          <w:kern w:val="0"/>
          <w:sz w:val="32"/>
          <w:szCs w:val="32"/>
        </w:rPr>
        <w:t>%，变动原因：</w:t>
      </w:r>
      <w:r>
        <w:rPr>
          <w:rFonts w:hint="eastAsia" w:ascii="仿宋" w:hAnsi="仿宋" w:eastAsia="仿宋" w:cs="仿宋"/>
          <w:color w:val="auto"/>
          <w:kern w:val="2"/>
          <w:sz w:val="32"/>
          <w:szCs w:val="32"/>
          <w:lang w:val="en-US" w:eastAsia="zh-CN"/>
        </w:rPr>
        <w:t>部分项目有所调整</w:t>
      </w:r>
      <w:r>
        <w:rPr>
          <w:rFonts w:hint="eastAsia" w:ascii="仿宋" w:hAnsi="仿宋" w:eastAsia="仿宋" w:cs="仿宋"/>
          <w:kern w:val="0"/>
          <w:sz w:val="32"/>
          <w:szCs w:val="32"/>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fang_song_gb2312" w:hAnsi="fang_song_gb2312" w:eastAsia="宋体" w:cs="fang_song_gb2312"/>
          <w:kern w:val="0"/>
          <w:sz w:val="27"/>
          <w:szCs w:val="27"/>
          <w:lang w:val="en-US" w:eastAsia="zh-CN"/>
        </w:rPr>
        <w:t xml:space="preserve"> </w:t>
      </w:r>
      <w:r>
        <w:rPr>
          <w:rFonts w:hint="eastAsia" w:ascii="仿宋" w:hAnsi="仿宋" w:eastAsia="仿宋" w:cs="仿宋"/>
          <w:kern w:val="0"/>
          <w:sz w:val="32"/>
          <w:szCs w:val="32"/>
        </w:rPr>
        <w:t>内蒙古自治区巴彦淖尔市卫生健康委员会（本级） 2023年度一般公共预算财政拨款支出决算</w:t>
      </w:r>
      <w:r>
        <w:rPr>
          <w:rFonts w:hint="eastAsia" w:ascii="仿宋" w:hAnsi="仿宋" w:eastAsia="仿宋" w:cs="仿宋"/>
          <w:kern w:val="0"/>
          <w:sz w:val="32"/>
          <w:szCs w:val="32"/>
          <w:u w:val="single"/>
        </w:rPr>
        <w:t xml:space="preserve"> 2,165.44</w:t>
      </w:r>
      <w:r>
        <w:rPr>
          <w:rFonts w:hint="eastAsia" w:ascii="仿宋" w:hAnsi="仿宋" w:eastAsia="仿宋" w:cs="仿宋"/>
          <w:kern w:val="0"/>
          <w:sz w:val="32"/>
          <w:szCs w:val="32"/>
        </w:rPr>
        <w:t>万元。与年初预算</w:t>
      </w:r>
      <w:r>
        <w:rPr>
          <w:rFonts w:hint="eastAsia" w:ascii="仿宋" w:hAnsi="仿宋" w:eastAsia="仿宋" w:cs="仿宋"/>
          <w:color w:val="auto"/>
          <w:kern w:val="0"/>
          <w:sz w:val="32"/>
          <w:szCs w:val="32"/>
          <w:lang w:val="en-US" w:eastAsia="zh-CN"/>
        </w:rPr>
        <w:t>1812.49</w:t>
      </w:r>
      <w:r>
        <w:rPr>
          <w:rFonts w:hint="eastAsia" w:ascii="仿宋" w:hAnsi="仿宋" w:eastAsia="仿宋" w:cs="仿宋"/>
          <w:kern w:val="0"/>
          <w:sz w:val="32"/>
          <w:szCs w:val="32"/>
        </w:rPr>
        <w:t>万元相比，完成年初预算的</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119.47</w:t>
      </w:r>
      <w:r>
        <w:rPr>
          <w:rFonts w:hint="eastAsia" w:ascii="仿宋" w:hAnsi="仿宋" w:eastAsia="仿宋" w:cs="仿宋"/>
          <w:kern w:val="0"/>
          <w:sz w:val="32"/>
          <w:szCs w:val="32"/>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val="en-US" w:eastAsia="zh-CN"/>
        </w:rPr>
        <w:t>一</w:t>
      </w:r>
      <w:r>
        <w:rPr>
          <w:rFonts w:ascii="kai_ti_gb2312" w:hAnsi="kai_ti_gb2312" w:eastAsia="kai_ti_gb2312" w:cs="kai_ti_gb2312"/>
          <w:b/>
          <w:bCs/>
          <w:kern w:val="0"/>
          <w:sz w:val="27"/>
          <w:szCs w:val="27"/>
        </w:rPr>
        <w:t>）社会保障和就业支出（类）</w:t>
      </w:r>
    </w:p>
    <w:p>
      <w:pPr>
        <w:widowControl/>
        <w:spacing w:before="240" w:after="240"/>
        <w:jc w:val="left"/>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社会保障和就业支出类决算数为</w:t>
      </w:r>
      <w:r>
        <w:rPr>
          <w:rFonts w:hint="eastAsia" w:ascii="仿宋" w:hAnsi="仿宋" w:eastAsia="仿宋" w:cs="仿宋"/>
          <w:kern w:val="0"/>
          <w:sz w:val="32"/>
          <w:szCs w:val="32"/>
          <w:u w:val="single"/>
        </w:rPr>
        <w:t xml:space="preserve"> 226.71</w:t>
      </w:r>
      <w:r>
        <w:rPr>
          <w:rFonts w:hint="eastAsia" w:ascii="仿宋" w:hAnsi="仿宋" w:eastAsia="仿宋" w:cs="仿宋"/>
          <w:kern w:val="0"/>
          <w:sz w:val="32"/>
          <w:szCs w:val="32"/>
        </w:rPr>
        <w:t>万元，与年初预算相比增加</w:t>
      </w:r>
      <w:r>
        <w:rPr>
          <w:rFonts w:hint="eastAsia" w:ascii="仿宋" w:hAnsi="仿宋" w:eastAsia="仿宋" w:cs="仿宋"/>
          <w:kern w:val="0"/>
          <w:sz w:val="32"/>
          <w:szCs w:val="32"/>
          <w:u w:val="single"/>
        </w:rPr>
        <w:t>68.29</w:t>
      </w:r>
      <w:r>
        <w:rPr>
          <w:rFonts w:hint="eastAsia" w:ascii="仿宋" w:hAnsi="仿宋" w:eastAsia="仿宋" w:cs="仿宋"/>
          <w:kern w:val="0"/>
          <w:sz w:val="32"/>
          <w:szCs w:val="32"/>
        </w:rPr>
        <w:t>万元。其中：</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    1．行政事业单位养老支出（款）行政单位离退休（项）。年初预算</w:t>
      </w:r>
      <w:r>
        <w:rPr>
          <w:rFonts w:hint="eastAsia" w:ascii="仿宋" w:hAnsi="仿宋" w:eastAsia="仿宋" w:cs="仿宋"/>
          <w:kern w:val="0"/>
          <w:sz w:val="32"/>
          <w:szCs w:val="32"/>
          <w:u w:val="single"/>
          <w:lang w:val="en-US" w:eastAsia="zh-CN"/>
        </w:rPr>
        <w:t>111.63</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111.4</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99.79</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人员变动</w:t>
      </w:r>
      <w:r>
        <w:rPr>
          <w:rFonts w:hint="eastAsia" w:ascii="仿宋" w:hAnsi="仿宋" w:eastAsia="仿宋" w:cs="仿宋"/>
          <w:kern w:val="0"/>
          <w:sz w:val="32"/>
          <w:szCs w:val="32"/>
        </w:rPr>
        <w:t>。</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    2．行政事业单位养老支出（款）机关事业单位基本养老保险缴费支出（项）。年初预算</w:t>
      </w:r>
      <w:r>
        <w:rPr>
          <w:rFonts w:hint="eastAsia" w:ascii="仿宋" w:hAnsi="仿宋" w:eastAsia="仿宋" w:cs="仿宋"/>
          <w:kern w:val="0"/>
          <w:sz w:val="32"/>
          <w:szCs w:val="32"/>
          <w:u w:val="single"/>
          <w:lang w:val="en-US" w:eastAsia="zh-CN"/>
        </w:rPr>
        <w:t>42.03</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41.08</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97.74</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人员变动</w:t>
      </w:r>
      <w:r>
        <w:rPr>
          <w:rFonts w:hint="eastAsia" w:ascii="仿宋" w:hAnsi="仿宋" w:eastAsia="仿宋" w:cs="仿宋"/>
          <w:kern w:val="0"/>
          <w:sz w:val="32"/>
          <w:szCs w:val="32"/>
        </w:rPr>
        <w:t>。</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    4．行政事业单位养老支出（款）机关事业单位职业年金缴费支出（项）。年初预算</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8.53</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职业年金做实人员无法预计</w:t>
      </w:r>
      <w:r>
        <w:rPr>
          <w:rFonts w:hint="eastAsia" w:ascii="仿宋" w:hAnsi="仿宋" w:eastAsia="仿宋" w:cs="仿宋"/>
          <w:kern w:val="0"/>
          <w:sz w:val="32"/>
          <w:szCs w:val="32"/>
        </w:rPr>
        <w:t>。</w:t>
      </w:r>
    </w:p>
    <w:p>
      <w:pPr>
        <w:widowControl/>
        <w:spacing w:before="240" w:after="24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5.抚恤</w:t>
      </w:r>
      <w:r>
        <w:rPr>
          <w:rFonts w:hint="eastAsia" w:ascii="仿宋" w:hAnsi="仿宋" w:eastAsia="仿宋" w:cs="仿宋"/>
          <w:kern w:val="0"/>
          <w:sz w:val="32"/>
          <w:szCs w:val="32"/>
        </w:rPr>
        <w:t>（款）</w:t>
      </w:r>
      <w:r>
        <w:rPr>
          <w:rFonts w:hint="eastAsia" w:ascii="仿宋" w:hAnsi="仿宋" w:eastAsia="仿宋" w:cs="仿宋"/>
          <w:kern w:val="0"/>
          <w:sz w:val="32"/>
          <w:szCs w:val="32"/>
          <w:lang w:val="en-US" w:eastAsia="zh-CN"/>
        </w:rPr>
        <w:t>死亡抚恤</w:t>
      </w:r>
      <w:r>
        <w:rPr>
          <w:rFonts w:hint="eastAsia" w:ascii="仿宋" w:hAnsi="仿宋" w:eastAsia="仿宋" w:cs="仿宋"/>
          <w:kern w:val="0"/>
          <w:sz w:val="32"/>
          <w:szCs w:val="32"/>
        </w:rPr>
        <w:t>（项）。年初预算</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60.64</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死亡人员无法预计</w:t>
      </w:r>
      <w:r>
        <w:rPr>
          <w:rFonts w:hint="eastAsia" w:ascii="仿宋" w:hAnsi="仿宋" w:eastAsia="仿宋" w:cs="仿宋"/>
          <w:kern w:val="0"/>
          <w:sz w:val="32"/>
          <w:szCs w:val="32"/>
        </w:rPr>
        <w:t>。</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6.</w:t>
      </w:r>
      <w:r>
        <w:rPr>
          <w:rFonts w:hint="eastAsia" w:ascii="仿宋" w:hAnsi="仿宋" w:eastAsia="仿宋" w:cs="仿宋"/>
          <w:kern w:val="0"/>
          <w:sz w:val="32"/>
          <w:szCs w:val="32"/>
        </w:rPr>
        <w:t>其他社会保障和就业支出（款）其他社会保障和就业支出（项）。年初预算</w:t>
      </w:r>
      <w:r>
        <w:rPr>
          <w:rFonts w:hint="eastAsia" w:ascii="仿宋" w:hAnsi="仿宋" w:eastAsia="仿宋" w:cs="仿宋"/>
          <w:kern w:val="0"/>
          <w:sz w:val="32"/>
          <w:szCs w:val="32"/>
          <w:u w:val="single"/>
          <w:lang w:val="en-US" w:eastAsia="zh-CN"/>
        </w:rPr>
        <w:t>4.77</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5.07</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106.29</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社会保险基数增长</w:t>
      </w:r>
      <w:r>
        <w:rPr>
          <w:rFonts w:hint="eastAsia" w:ascii="仿宋" w:hAnsi="仿宋" w:eastAsia="仿宋" w:cs="仿宋"/>
          <w:kern w:val="0"/>
          <w:sz w:val="32"/>
          <w:szCs w:val="32"/>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val="en-US" w:eastAsia="zh-CN"/>
        </w:rPr>
        <w:t>二</w:t>
      </w:r>
      <w:r>
        <w:rPr>
          <w:rFonts w:ascii="kai_ti_gb2312" w:hAnsi="kai_ti_gb2312" w:eastAsia="kai_ti_gb2312" w:cs="kai_ti_gb2312"/>
          <w:b/>
          <w:bCs/>
          <w:kern w:val="0"/>
          <w:sz w:val="27"/>
          <w:szCs w:val="27"/>
        </w:rPr>
        <w:t>）卫生健康支出（类）</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卫生健康支出类决算数为</w:t>
      </w:r>
      <w:r>
        <w:rPr>
          <w:rFonts w:hint="eastAsia" w:ascii="仿宋" w:hAnsi="仿宋" w:eastAsia="仿宋" w:cs="仿宋"/>
          <w:kern w:val="0"/>
          <w:sz w:val="32"/>
          <w:szCs w:val="32"/>
          <w:u w:val="single"/>
        </w:rPr>
        <w:t xml:space="preserve"> 1,894.15</w:t>
      </w:r>
      <w:r>
        <w:rPr>
          <w:rFonts w:hint="eastAsia" w:ascii="仿宋" w:hAnsi="仿宋" w:eastAsia="仿宋" w:cs="仿宋"/>
          <w:kern w:val="0"/>
          <w:sz w:val="32"/>
          <w:szCs w:val="32"/>
        </w:rPr>
        <w:t>万元，与年初预算相比增加</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284.29</w:t>
      </w:r>
      <w:r>
        <w:rPr>
          <w:rFonts w:hint="eastAsia" w:ascii="仿宋" w:hAnsi="仿宋" w:eastAsia="仿宋" w:cs="仿宋"/>
          <w:kern w:val="0"/>
          <w:sz w:val="32"/>
          <w:szCs w:val="32"/>
        </w:rPr>
        <w:t>万元。其中：</w:t>
      </w:r>
    </w:p>
    <w:p>
      <w:pPr>
        <w:widowControl/>
        <w:numPr>
          <w:ilvl w:val="0"/>
          <w:numId w:val="1"/>
        </w:numPr>
        <w:spacing w:before="240" w:after="240"/>
        <w:ind w:firstLine="420"/>
        <w:rPr>
          <w:rFonts w:hint="eastAsia" w:ascii="仿宋" w:hAnsi="仿宋" w:eastAsia="仿宋" w:cs="仿宋"/>
          <w:kern w:val="0"/>
          <w:sz w:val="32"/>
          <w:szCs w:val="32"/>
        </w:rPr>
      </w:pPr>
      <w:r>
        <w:rPr>
          <w:rFonts w:hint="eastAsia" w:ascii="仿宋" w:hAnsi="仿宋" w:eastAsia="仿宋" w:cs="仿宋"/>
          <w:kern w:val="0"/>
          <w:sz w:val="32"/>
          <w:szCs w:val="32"/>
        </w:rPr>
        <w:t>卫生健康管理事务（款）行政运行（项）。年初预算</w:t>
      </w:r>
      <w:r>
        <w:rPr>
          <w:rFonts w:hint="eastAsia" w:ascii="仿宋" w:hAnsi="仿宋" w:eastAsia="仿宋" w:cs="仿宋"/>
          <w:kern w:val="0"/>
          <w:sz w:val="32"/>
          <w:szCs w:val="32"/>
          <w:u w:val="single"/>
          <w:lang w:val="en-US" w:eastAsia="zh-CN"/>
        </w:rPr>
        <w:t>409.29</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443.58</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108.38</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人员工资增长</w:t>
      </w:r>
      <w:r>
        <w:rPr>
          <w:rFonts w:hint="eastAsia" w:ascii="仿宋" w:hAnsi="仿宋" w:eastAsia="仿宋" w:cs="仿宋"/>
          <w:kern w:val="0"/>
          <w:sz w:val="32"/>
          <w:szCs w:val="32"/>
        </w:rPr>
        <w:t>。</w:t>
      </w:r>
    </w:p>
    <w:p>
      <w:pPr>
        <w:pStyle w:val="23"/>
        <w:numPr>
          <w:ilvl w:val="0"/>
          <w:numId w:val="1"/>
        </w:numPr>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kern w:val="0"/>
          <w:sz w:val="32"/>
          <w:szCs w:val="32"/>
        </w:rPr>
        <w:t>卫生健康管理事务（款）一般行政管理事务（项）。年初预算</w:t>
      </w:r>
      <w:r>
        <w:rPr>
          <w:rFonts w:hint="eastAsia" w:ascii="仿宋" w:hAnsi="仿宋" w:eastAsia="仿宋" w:cs="仿宋"/>
          <w:kern w:val="0"/>
          <w:sz w:val="32"/>
          <w:szCs w:val="32"/>
          <w:u w:val="single"/>
          <w:lang w:val="en-US" w:eastAsia="zh-CN"/>
        </w:rPr>
        <w:t>50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49.96</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lang w:val="en-US" w:eastAsia="zh-CN"/>
        </w:rPr>
        <w:t>99.92</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项目资金基本全部支出</w:t>
      </w:r>
      <w:r>
        <w:rPr>
          <w:rFonts w:hint="eastAsia" w:ascii="仿宋" w:hAnsi="仿宋" w:eastAsia="仿宋" w:cs="仿宋"/>
          <w:kern w:val="0"/>
          <w:sz w:val="32"/>
          <w:szCs w:val="32"/>
        </w:rPr>
        <w:t>。</w:t>
      </w:r>
    </w:p>
    <w:p>
      <w:pPr>
        <w:widowControl/>
        <w:numPr>
          <w:ilvl w:val="0"/>
          <w:numId w:val="0"/>
        </w:numPr>
        <w:spacing w:before="240" w:after="240"/>
        <w:ind w:firstLine="640" w:firstLineChars="200"/>
        <w:rPr>
          <w:rFonts w:hint="eastAsia" w:ascii="仿宋" w:hAnsi="仿宋" w:eastAsia="仿宋" w:cs="仿宋"/>
          <w:color w:val="auto"/>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color w:val="auto"/>
          <w:kern w:val="0"/>
          <w:sz w:val="32"/>
          <w:szCs w:val="32"/>
        </w:rPr>
        <w:t>公立医院</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款）其他公立医院支出</w:t>
      </w:r>
      <w:r>
        <w:rPr>
          <w:rFonts w:hint="eastAsia" w:ascii="仿宋" w:hAnsi="仿宋" w:eastAsia="仿宋" w:cs="仿宋"/>
          <w:color w:val="auto"/>
          <w:kern w:val="0"/>
          <w:sz w:val="32"/>
          <w:szCs w:val="32"/>
        </w:rPr>
        <w:t>（项）。年初预算</w:t>
      </w:r>
      <w:r>
        <w:rPr>
          <w:rFonts w:hint="eastAsia" w:ascii="仿宋" w:hAnsi="仿宋" w:eastAsia="仿宋" w:cs="仿宋"/>
          <w:color w:val="auto"/>
          <w:kern w:val="0"/>
          <w:sz w:val="32"/>
          <w:szCs w:val="32"/>
          <w:u w:val="single"/>
          <w:lang w:val="en-US" w:eastAsia="zh-CN"/>
        </w:rPr>
        <w:t>790</w:t>
      </w:r>
      <w:r>
        <w:rPr>
          <w:rFonts w:hint="eastAsia" w:ascii="仿宋" w:hAnsi="仿宋" w:eastAsia="仿宋" w:cs="仿宋"/>
          <w:color w:val="auto"/>
          <w:kern w:val="0"/>
          <w:sz w:val="32"/>
          <w:szCs w:val="32"/>
          <w:lang w:val="en-US" w:eastAsia="zh-CN"/>
        </w:rPr>
        <w:t>万元，支出决算</w:t>
      </w:r>
      <w:r>
        <w:rPr>
          <w:rFonts w:hint="eastAsia" w:ascii="仿宋" w:hAnsi="仿宋" w:eastAsia="仿宋" w:cs="仿宋"/>
          <w:color w:val="auto"/>
          <w:kern w:val="0"/>
          <w:sz w:val="32"/>
          <w:szCs w:val="32"/>
          <w:u w:val="single"/>
          <w:lang w:val="en-US" w:eastAsia="zh-CN"/>
        </w:rPr>
        <w:t>0</w:t>
      </w:r>
      <w:r>
        <w:rPr>
          <w:rFonts w:hint="eastAsia" w:ascii="仿宋" w:hAnsi="仿宋" w:eastAsia="仿宋" w:cs="仿宋"/>
          <w:color w:val="auto"/>
          <w:kern w:val="0"/>
          <w:sz w:val="32"/>
          <w:szCs w:val="32"/>
          <w:lang w:val="en-US" w:eastAsia="zh-CN"/>
        </w:rPr>
        <w:t>万元，完成年初预算的</w:t>
      </w:r>
      <w:r>
        <w:rPr>
          <w:rFonts w:hint="eastAsia" w:ascii="仿宋" w:hAnsi="仿宋" w:eastAsia="仿宋" w:cs="仿宋"/>
          <w:color w:val="auto"/>
          <w:kern w:val="0"/>
          <w:sz w:val="32"/>
          <w:szCs w:val="32"/>
          <w:u w:val="single"/>
          <w:lang w:val="en-US" w:eastAsia="zh-CN"/>
        </w:rPr>
        <w:t>0</w:t>
      </w:r>
      <w:r>
        <w:rPr>
          <w:rFonts w:hint="eastAsia" w:ascii="仿宋" w:hAnsi="仿宋" w:eastAsia="仿宋" w:cs="仿宋"/>
          <w:color w:val="auto"/>
          <w:kern w:val="0"/>
          <w:sz w:val="32"/>
          <w:szCs w:val="32"/>
          <w:lang w:val="en-US" w:eastAsia="zh-CN"/>
        </w:rPr>
        <w:t>%。决算数与年初预算数的差异原因：</w:t>
      </w:r>
      <w:r>
        <w:rPr>
          <w:rFonts w:hint="eastAsia" w:ascii="仿宋" w:hAnsi="仿宋" w:eastAsia="仿宋" w:cs="仿宋"/>
          <w:color w:val="auto"/>
          <w:kern w:val="2"/>
          <w:sz w:val="32"/>
          <w:szCs w:val="32"/>
          <w:lang w:val="en-US" w:eastAsia="zh-CN"/>
        </w:rPr>
        <w:t>取消药品加成补助资金分配到市直四家医院。</w:t>
      </w:r>
    </w:p>
    <w:p>
      <w:pPr>
        <w:widowControl/>
        <w:numPr>
          <w:ilvl w:val="0"/>
          <w:numId w:val="0"/>
        </w:numPr>
        <w:spacing w:before="240" w:after="240"/>
        <w:ind w:firstLine="640" w:firstLineChars="200"/>
        <w:rPr>
          <w:rFonts w:hint="eastAsia" w:ascii="仿宋" w:hAnsi="仿宋" w:eastAsia="仿宋" w:cs="仿宋"/>
          <w:color w:val="auto"/>
          <w:kern w:val="2"/>
          <w:sz w:val="32"/>
          <w:szCs w:val="32"/>
          <w:lang w:val="en-US" w:eastAsia="zh-CN"/>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公共卫生（款）基本公共卫生服务（项）。年初预算</w:t>
      </w:r>
      <w:r>
        <w:rPr>
          <w:rFonts w:hint="eastAsia" w:ascii="仿宋" w:hAnsi="仿宋" w:eastAsia="仿宋" w:cs="仿宋"/>
          <w:kern w:val="0"/>
          <w:sz w:val="32"/>
          <w:szCs w:val="32"/>
          <w:u w:val="single"/>
          <w:lang w:val="en-US" w:eastAsia="zh-CN"/>
        </w:rPr>
        <w:t>50.24</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97.9</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194.86</w:t>
      </w:r>
      <w:r>
        <w:rPr>
          <w:rFonts w:hint="eastAsia" w:ascii="仿宋" w:hAnsi="仿宋" w:eastAsia="仿宋" w:cs="仿宋"/>
          <w:kern w:val="0"/>
          <w:sz w:val="32"/>
          <w:szCs w:val="32"/>
        </w:rPr>
        <w:t>%。决算数与年初预算数的差异原因：</w:t>
      </w:r>
      <w:r>
        <w:rPr>
          <w:rFonts w:hint="eastAsia" w:ascii="仿宋" w:hAnsi="仿宋" w:eastAsia="仿宋" w:cs="仿宋"/>
          <w:color w:val="auto"/>
          <w:kern w:val="2"/>
          <w:sz w:val="32"/>
          <w:szCs w:val="32"/>
          <w:lang w:val="en-US" w:eastAsia="zh-CN"/>
        </w:rPr>
        <w:t>决算中包括上级补助资金。</w:t>
      </w:r>
    </w:p>
    <w:p>
      <w:pPr>
        <w:widowControl/>
        <w:numPr>
          <w:ilvl w:val="0"/>
          <w:numId w:val="0"/>
        </w:numPr>
        <w:spacing w:before="240" w:after="240"/>
        <w:ind w:firstLine="640" w:firstLineChars="200"/>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5.</w:t>
      </w:r>
      <w:r>
        <w:rPr>
          <w:rFonts w:hint="eastAsia" w:ascii="仿宋" w:hAnsi="仿宋" w:eastAsia="仿宋" w:cs="仿宋"/>
          <w:kern w:val="0"/>
          <w:sz w:val="32"/>
          <w:szCs w:val="32"/>
        </w:rPr>
        <w:t>公共卫生（款）重大公共卫生服务（项）。年初预算</w:t>
      </w:r>
      <w:r>
        <w:rPr>
          <w:rFonts w:hint="eastAsia" w:ascii="仿宋" w:hAnsi="仿宋" w:eastAsia="仿宋" w:cs="仿宋"/>
          <w:kern w:val="0"/>
          <w:sz w:val="32"/>
          <w:szCs w:val="32"/>
          <w:u w:val="single"/>
          <w:lang w:val="en-US" w:eastAsia="zh-CN"/>
        </w:rPr>
        <w:t>59.5</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963.06</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1618.59</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决算支出中包括上级补助资金，其中包括名医传承工作室建设项目和疫情防控能力提升项目872.4万元</w:t>
      </w:r>
      <w:r>
        <w:rPr>
          <w:rFonts w:hint="eastAsia" w:ascii="仿宋" w:hAnsi="仿宋" w:eastAsia="仿宋" w:cs="仿宋"/>
          <w:color w:val="auto"/>
          <w:kern w:val="2"/>
          <w:sz w:val="32"/>
          <w:szCs w:val="32"/>
          <w:lang w:val="en-US" w:eastAsia="zh-CN"/>
        </w:rPr>
        <w:t>。</w:t>
      </w:r>
    </w:p>
    <w:p>
      <w:pPr>
        <w:widowControl/>
        <w:numPr>
          <w:ilvl w:val="0"/>
          <w:numId w:val="0"/>
        </w:numPr>
        <w:spacing w:before="240" w:after="240"/>
        <w:ind w:firstLine="640" w:firstLineChars="200"/>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6.</w:t>
      </w:r>
      <w:r>
        <w:rPr>
          <w:rFonts w:hint="eastAsia" w:ascii="仿宋" w:hAnsi="仿宋" w:eastAsia="仿宋" w:cs="仿宋"/>
          <w:kern w:val="0"/>
          <w:sz w:val="32"/>
          <w:szCs w:val="32"/>
        </w:rPr>
        <w:t>公共卫生（款）其他公共卫生支出（项）。年初预算</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14.14</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决算支出中包括上级补助资金</w:t>
      </w:r>
      <w:r>
        <w:rPr>
          <w:rFonts w:hint="eastAsia" w:ascii="仿宋" w:hAnsi="仿宋" w:eastAsia="仿宋" w:cs="仿宋"/>
          <w:color w:val="auto"/>
          <w:kern w:val="2"/>
          <w:sz w:val="32"/>
          <w:szCs w:val="32"/>
          <w:lang w:val="en-US" w:eastAsia="zh-CN"/>
        </w:rPr>
        <w:t>。</w:t>
      </w:r>
    </w:p>
    <w:p>
      <w:pPr>
        <w:widowControl/>
        <w:numPr>
          <w:ilvl w:val="0"/>
          <w:numId w:val="0"/>
        </w:numPr>
        <w:spacing w:before="240" w:after="240"/>
        <w:ind w:firstLine="640" w:firstLineChars="200"/>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7.</w:t>
      </w:r>
      <w:r>
        <w:rPr>
          <w:rFonts w:hint="eastAsia" w:ascii="仿宋" w:hAnsi="仿宋" w:eastAsia="仿宋" w:cs="仿宋"/>
          <w:kern w:val="0"/>
          <w:sz w:val="32"/>
          <w:szCs w:val="32"/>
        </w:rPr>
        <w:t>中医药（款）中医(民族医)药专项（项）。年初预算</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15.77</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决算支出中包括上级补助资金</w:t>
      </w:r>
      <w:r>
        <w:rPr>
          <w:rFonts w:hint="eastAsia" w:ascii="仿宋" w:hAnsi="仿宋" w:eastAsia="仿宋" w:cs="仿宋"/>
          <w:color w:val="auto"/>
          <w:kern w:val="2"/>
          <w:sz w:val="32"/>
          <w:szCs w:val="32"/>
          <w:lang w:val="en-US" w:eastAsia="zh-CN"/>
        </w:rPr>
        <w:t>。</w:t>
      </w:r>
    </w:p>
    <w:p>
      <w:pPr>
        <w:widowControl/>
        <w:numPr>
          <w:ilvl w:val="0"/>
          <w:numId w:val="0"/>
        </w:numPr>
        <w:spacing w:before="240" w:after="24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2"/>
          <w:sz w:val="32"/>
          <w:szCs w:val="32"/>
          <w:lang w:val="en-US" w:eastAsia="zh-CN"/>
        </w:rPr>
        <w:t>8.</w:t>
      </w:r>
      <w:r>
        <w:rPr>
          <w:rFonts w:hint="eastAsia" w:ascii="仿宋" w:hAnsi="仿宋" w:eastAsia="仿宋" w:cs="仿宋"/>
          <w:color w:val="auto"/>
          <w:kern w:val="0"/>
          <w:sz w:val="32"/>
          <w:szCs w:val="32"/>
        </w:rPr>
        <w:t>计划生育事务</w:t>
      </w:r>
      <w:r>
        <w:rPr>
          <w:rFonts w:hint="eastAsia" w:ascii="仿宋" w:hAnsi="仿宋" w:eastAsia="仿宋" w:cs="仿宋"/>
          <w:kern w:val="0"/>
          <w:sz w:val="32"/>
          <w:szCs w:val="32"/>
        </w:rPr>
        <w:t>（款）计划生育服务（项）。年初预算</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2</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%。决算数与年初预算数的差异原因：</w:t>
      </w:r>
      <w:r>
        <w:rPr>
          <w:rFonts w:hint="eastAsia" w:ascii="仿宋" w:hAnsi="仿宋" w:eastAsia="仿宋" w:cs="仿宋"/>
          <w:color w:val="auto"/>
          <w:kern w:val="2"/>
          <w:sz w:val="32"/>
          <w:szCs w:val="32"/>
          <w:lang w:val="en-US" w:eastAsia="zh-CN"/>
        </w:rPr>
        <w:t>决算中包括上级补助资金。</w:t>
      </w:r>
    </w:p>
    <w:p>
      <w:pPr>
        <w:widowControl/>
        <w:numPr>
          <w:ilvl w:val="0"/>
          <w:numId w:val="0"/>
        </w:numPr>
        <w:spacing w:before="240" w:after="240"/>
        <w:ind w:firstLine="640" w:firstLineChars="200"/>
        <w:rPr>
          <w:rFonts w:hint="eastAsia" w:ascii="仿宋" w:hAnsi="仿宋" w:eastAsia="仿宋" w:cs="仿宋"/>
          <w:color w:val="auto"/>
          <w:kern w:val="2"/>
          <w:sz w:val="32"/>
          <w:szCs w:val="32"/>
          <w:lang w:val="en-US" w:eastAsia="zh-CN"/>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计划生育事务</w:t>
      </w:r>
      <w:r>
        <w:rPr>
          <w:rFonts w:hint="eastAsia" w:ascii="仿宋" w:hAnsi="仿宋" w:eastAsia="仿宋" w:cs="仿宋"/>
          <w:kern w:val="0"/>
          <w:sz w:val="32"/>
          <w:szCs w:val="32"/>
        </w:rPr>
        <w:t>（款）其他计划生育事务支出（项）。年初预算</w:t>
      </w:r>
      <w:r>
        <w:rPr>
          <w:rFonts w:hint="eastAsia" w:ascii="仿宋" w:hAnsi="仿宋" w:eastAsia="仿宋" w:cs="仿宋"/>
          <w:kern w:val="0"/>
          <w:sz w:val="32"/>
          <w:szCs w:val="32"/>
          <w:u w:val="single"/>
          <w:lang w:val="en-US" w:eastAsia="zh-CN"/>
        </w:rPr>
        <w:t>85</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145.02</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170.61</w:t>
      </w:r>
      <w:r>
        <w:rPr>
          <w:rFonts w:hint="eastAsia" w:ascii="仿宋" w:hAnsi="仿宋" w:eastAsia="仿宋" w:cs="仿宋"/>
          <w:kern w:val="0"/>
          <w:sz w:val="32"/>
          <w:szCs w:val="32"/>
        </w:rPr>
        <w:t>%。决算数与年初预算数的差异原因：</w:t>
      </w:r>
      <w:r>
        <w:rPr>
          <w:rFonts w:hint="eastAsia" w:ascii="仿宋" w:hAnsi="仿宋" w:eastAsia="仿宋" w:cs="仿宋"/>
          <w:color w:val="auto"/>
          <w:kern w:val="2"/>
          <w:sz w:val="32"/>
          <w:szCs w:val="32"/>
          <w:lang w:val="en-US" w:eastAsia="zh-CN"/>
        </w:rPr>
        <w:t>决算中包括上级补助资金。</w:t>
      </w:r>
    </w:p>
    <w:p>
      <w:pPr>
        <w:widowControl/>
        <w:spacing w:before="240" w:after="240"/>
        <w:ind w:firstLine="640" w:firstLineChars="200"/>
        <w:rPr>
          <w:rFonts w:hint="eastAsia" w:ascii="仿宋" w:hAnsi="仿宋" w:eastAsia="仿宋" w:cs="仿宋"/>
          <w:kern w:val="0"/>
          <w:sz w:val="32"/>
          <w:szCs w:val="32"/>
        </w:rPr>
      </w:pPr>
      <w:r>
        <w:rPr>
          <w:rFonts w:hint="eastAsia" w:ascii="仿宋" w:hAnsi="仿宋" w:eastAsia="仿宋" w:cs="仿宋"/>
          <w:color w:val="auto"/>
          <w:kern w:val="2"/>
          <w:sz w:val="32"/>
          <w:szCs w:val="32"/>
          <w:lang w:val="en-US" w:eastAsia="zh-CN"/>
        </w:rPr>
        <w:t>10.</w:t>
      </w:r>
      <w:r>
        <w:rPr>
          <w:rFonts w:hint="eastAsia" w:ascii="仿宋" w:hAnsi="仿宋" w:eastAsia="仿宋" w:cs="仿宋"/>
          <w:color w:val="auto"/>
          <w:kern w:val="0"/>
          <w:sz w:val="32"/>
          <w:szCs w:val="32"/>
        </w:rPr>
        <w:t>行政事业单位医疗</w:t>
      </w:r>
      <w:r>
        <w:rPr>
          <w:rFonts w:hint="eastAsia" w:ascii="仿宋" w:hAnsi="仿宋" w:eastAsia="仿宋" w:cs="仿宋"/>
          <w:kern w:val="0"/>
          <w:sz w:val="32"/>
          <w:szCs w:val="32"/>
        </w:rPr>
        <w:t>（款）行政单位医疗（项）。年初预算</w:t>
      </w:r>
      <w:r>
        <w:rPr>
          <w:rFonts w:hint="eastAsia" w:ascii="仿宋" w:hAnsi="仿宋" w:eastAsia="仿宋" w:cs="仿宋"/>
          <w:kern w:val="0"/>
          <w:sz w:val="32"/>
          <w:szCs w:val="32"/>
          <w:u w:val="single"/>
          <w:lang w:val="en-US" w:eastAsia="zh-CN"/>
        </w:rPr>
        <w:t>22.56</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24.07</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106.69</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医保基数增长</w:t>
      </w:r>
      <w:r>
        <w:rPr>
          <w:rFonts w:hint="eastAsia" w:ascii="仿宋" w:hAnsi="仿宋" w:eastAsia="仿宋" w:cs="仿宋"/>
          <w:kern w:val="0"/>
          <w:sz w:val="32"/>
          <w:szCs w:val="32"/>
        </w:rPr>
        <w:t>。</w:t>
      </w:r>
    </w:p>
    <w:p>
      <w:pPr>
        <w:widowControl/>
        <w:spacing w:before="240" w:after="240"/>
        <w:ind w:firstLine="640" w:firstLineChars="200"/>
        <w:rPr>
          <w:rFonts w:hint="eastAsia" w:ascii="仿宋" w:hAnsi="仿宋" w:eastAsia="仿宋" w:cs="仿宋"/>
          <w:kern w:val="0"/>
          <w:sz w:val="32"/>
          <w:szCs w:val="32"/>
        </w:rPr>
      </w:pPr>
      <w:r>
        <w:rPr>
          <w:rFonts w:hint="eastAsia" w:ascii="仿宋" w:hAnsi="仿宋" w:eastAsia="仿宋" w:cs="仿宋"/>
          <w:color w:val="auto"/>
          <w:kern w:val="2"/>
          <w:sz w:val="32"/>
          <w:szCs w:val="32"/>
          <w:lang w:val="en-US" w:eastAsia="zh-CN"/>
        </w:rPr>
        <w:t>11.</w:t>
      </w:r>
      <w:r>
        <w:rPr>
          <w:rFonts w:hint="eastAsia" w:ascii="仿宋" w:hAnsi="仿宋" w:eastAsia="仿宋" w:cs="仿宋"/>
          <w:kern w:val="0"/>
          <w:sz w:val="32"/>
          <w:szCs w:val="32"/>
        </w:rPr>
        <w:t>行政事业单位医疗（款）公务员医疗补助（项）。年初预算</w:t>
      </w:r>
      <w:r>
        <w:rPr>
          <w:rFonts w:hint="eastAsia" w:ascii="仿宋" w:hAnsi="仿宋" w:eastAsia="仿宋" w:cs="仿宋"/>
          <w:kern w:val="0"/>
          <w:sz w:val="32"/>
          <w:szCs w:val="32"/>
          <w:u w:val="single"/>
          <w:lang w:val="en-US" w:eastAsia="zh-CN"/>
        </w:rPr>
        <w:t>12.7</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14.63</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115.2</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医保基数增长</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12.</w:t>
      </w:r>
      <w:r>
        <w:rPr>
          <w:rFonts w:hint="eastAsia" w:ascii="仿宋" w:hAnsi="仿宋" w:eastAsia="仿宋" w:cs="仿宋"/>
          <w:kern w:val="0"/>
          <w:sz w:val="32"/>
          <w:szCs w:val="32"/>
        </w:rPr>
        <w:t>行政事业单位医疗（款）其他行政事业单位医疗支出（项）。年初预算</w:t>
      </w:r>
      <w:r>
        <w:rPr>
          <w:rFonts w:hint="eastAsia" w:ascii="仿宋" w:hAnsi="仿宋" w:eastAsia="仿宋" w:cs="仿宋"/>
          <w:kern w:val="0"/>
          <w:sz w:val="32"/>
          <w:szCs w:val="32"/>
          <w:u w:val="single"/>
          <w:lang w:val="en-US" w:eastAsia="zh-CN"/>
        </w:rPr>
        <w:t>100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75.86</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75.86</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市保健委经费未完全支出</w:t>
      </w:r>
      <w:r>
        <w:rPr>
          <w:rFonts w:hint="eastAsia" w:ascii="仿宋" w:hAnsi="仿宋" w:eastAsia="仿宋" w:cs="仿宋"/>
          <w:kern w:val="0"/>
          <w:sz w:val="32"/>
          <w:szCs w:val="32"/>
        </w:rPr>
        <w:t>。</w:t>
      </w:r>
    </w:p>
    <w:p>
      <w:pPr>
        <w:widowControl/>
        <w:spacing w:before="240" w:after="240"/>
        <w:ind w:firstLine="54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13.医疗救助</w:t>
      </w:r>
      <w:r>
        <w:rPr>
          <w:rFonts w:hint="eastAsia" w:ascii="仿宋" w:hAnsi="仿宋" w:eastAsia="仿宋" w:cs="仿宋"/>
          <w:kern w:val="0"/>
          <w:sz w:val="32"/>
          <w:szCs w:val="32"/>
        </w:rPr>
        <w:t>（款）疾病应急救助（项）。年初预算</w:t>
      </w:r>
      <w:r>
        <w:rPr>
          <w:rFonts w:hint="eastAsia" w:ascii="仿宋" w:hAnsi="仿宋" w:eastAsia="仿宋" w:cs="仿宋"/>
          <w:kern w:val="0"/>
          <w:sz w:val="32"/>
          <w:szCs w:val="32"/>
          <w:u w:val="single"/>
          <w:lang w:val="en-US" w:eastAsia="zh-CN"/>
        </w:rPr>
        <w:t>30.56</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30.56</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决算数与预算数无差异，全部支出</w:t>
      </w:r>
      <w:r>
        <w:rPr>
          <w:rFonts w:hint="eastAsia" w:ascii="仿宋" w:hAnsi="仿宋" w:eastAsia="仿宋" w:cs="仿宋"/>
          <w:kern w:val="0"/>
          <w:sz w:val="32"/>
          <w:szCs w:val="32"/>
        </w:rPr>
        <w:t>。</w:t>
      </w:r>
    </w:p>
    <w:p>
      <w:pPr>
        <w:widowControl/>
        <w:spacing w:before="240" w:after="240"/>
        <w:ind w:firstLine="54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14.老龄卫生健康事务</w:t>
      </w:r>
      <w:r>
        <w:rPr>
          <w:rFonts w:hint="eastAsia" w:ascii="仿宋" w:hAnsi="仿宋" w:eastAsia="仿宋" w:cs="仿宋"/>
          <w:kern w:val="0"/>
          <w:sz w:val="32"/>
          <w:szCs w:val="32"/>
        </w:rPr>
        <w:t>（款）老龄卫生健康事务（项）。年初预算</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20.59</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%。决算数与年初预算数的差异原因：</w:t>
      </w:r>
      <w:r>
        <w:rPr>
          <w:rFonts w:hint="eastAsia" w:ascii="仿宋" w:hAnsi="仿宋" w:eastAsia="仿宋" w:cs="仿宋"/>
          <w:color w:val="auto"/>
          <w:kern w:val="2"/>
          <w:sz w:val="32"/>
          <w:szCs w:val="32"/>
          <w:lang w:val="en-US" w:eastAsia="zh-CN"/>
        </w:rPr>
        <w:t>决算中包括上级补助资金。</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val="en-US" w:eastAsia="zh-CN"/>
        </w:rPr>
        <w:t>三</w:t>
      </w:r>
      <w:r>
        <w:rPr>
          <w:rFonts w:ascii="kai_ti_gb2312" w:hAnsi="kai_ti_gb2312" w:eastAsia="kai_ti_gb2312" w:cs="kai_ti_gb2312"/>
          <w:b/>
          <w:bCs/>
          <w:kern w:val="0"/>
          <w:sz w:val="27"/>
          <w:szCs w:val="27"/>
        </w:rPr>
        <w:t>）住房保障支出（类）</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住房保障支出类决算数为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44.58</w:t>
      </w:r>
      <w:r>
        <w:rPr>
          <w:rFonts w:hint="eastAsia" w:ascii="仿宋" w:hAnsi="仿宋" w:eastAsia="仿宋" w:cs="仿宋"/>
          <w:kern w:val="0"/>
          <w:sz w:val="32"/>
          <w:szCs w:val="32"/>
        </w:rPr>
        <w:t>万元，与年初预算相比增加</w:t>
      </w:r>
      <w:r>
        <w:rPr>
          <w:rFonts w:hint="eastAsia" w:ascii="仿宋" w:hAnsi="仿宋" w:eastAsia="仿宋" w:cs="仿宋"/>
          <w:kern w:val="0"/>
          <w:sz w:val="32"/>
          <w:szCs w:val="32"/>
          <w:u w:val="single"/>
          <w:lang w:val="en-US" w:eastAsia="zh-CN"/>
        </w:rPr>
        <w:t>0.37</w:t>
      </w:r>
      <w:r>
        <w:rPr>
          <w:rFonts w:hint="eastAsia" w:ascii="仿宋" w:hAnsi="仿宋" w:eastAsia="仿宋" w:cs="仿宋"/>
          <w:kern w:val="0"/>
          <w:sz w:val="32"/>
          <w:szCs w:val="32"/>
        </w:rPr>
        <w:t>万元。其中：</w:t>
      </w:r>
    </w:p>
    <w:p>
      <w:pPr>
        <w:keepNext w:val="0"/>
        <w:keepLines w:val="0"/>
        <w:pageBreakBefore w:val="0"/>
        <w:widowControl/>
        <w:numPr>
          <w:ilvl w:val="0"/>
          <w:numId w:val="2"/>
        </w:numPr>
        <w:kinsoku/>
        <w:wordWrap/>
        <w:overflowPunct/>
        <w:topLinePunct w:val="0"/>
        <w:autoSpaceDE/>
        <w:autoSpaceDN/>
        <w:bidi w:val="0"/>
        <w:adjustRightInd/>
        <w:snapToGrid/>
        <w:ind w:left="426" w:leftChars="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住房改革支出（款）住房公积金（项）。年初预算</w:t>
      </w:r>
      <w:r>
        <w:rPr>
          <w:rFonts w:hint="eastAsia" w:ascii="仿宋" w:hAnsi="仿宋" w:eastAsia="仿宋" w:cs="仿宋"/>
          <w:kern w:val="0"/>
          <w:sz w:val="32"/>
          <w:szCs w:val="32"/>
          <w:u w:val="single"/>
          <w:lang w:val="en-US" w:eastAsia="zh-CN"/>
        </w:rPr>
        <w:t>44.21</w:t>
      </w:r>
      <w:r>
        <w:rPr>
          <w:rFonts w:hint="eastAsia" w:ascii="仿宋" w:hAnsi="仿宋" w:eastAsia="仿宋" w:cs="仿宋"/>
          <w:kern w:val="0"/>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rPr>
        <w:t>支出</w:t>
      </w:r>
      <w:r>
        <w:rPr>
          <w:rFonts w:hint="eastAsia" w:ascii="仿宋" w:hAnsi="仿宋" w:eastAsia="仿宋" w:cs="仿宋"/>
          <w:kern w:val="0"/>
          <w:sz w:val="32"/>
          <w:szCs w:val="32"/>
          <w:lang w:val="en-US" w:eastAsia="zh-CN"/>
        </w:rPr>
        <w:t>决</w:t>
      </w:r>
      <w:r>
        <w:rPr>
          <w:rFonts w:hint="eastAsia" w:ascii="仿宋" w:hAnsi="仿宋" w:eastAsia="仿宋" w:cs="仿宋"/>
          <w:kern w:val="0"/>
          <w:sz w:val="32"/>
          <w:szCs w:val="32"/>
        </w:rPr>
        <w:t>算</w:t>
      </w:r>
      <w:r>
        <w:rPr>
          <w:rFonts w:hint="eastAsia" w:ascii="仿宋" w:hAnsi="仿宋" w:eastAsia="仿宋" w:cs="仿宋"/>
          <w:kern w:val="0"/>
          <w:sz w:val="32"/>
          <w:szCs w:val="32"/>
          <w:u w:val="single"/>
          <w:lang w:val="en-US" w:eastAsia="zh-CN"/>
        </w:rPr>
        <w:t>44.58</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100.84</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住房公积金基数增长</w:t>
      </w:r>
      <w:r>
        <w:rPr>
          <w:rFonts w:hint="eastAsia" w:ascii="仿宋" w:hAnsi="仿宋" w:eastAsia="仿宋" w:cs="仿宋"/>
          <w:kern w:val="0"/>
          <w:sz w:val="32"/>
          <w:szCs w:val="32"/>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内蒙古自治区巴彦淖尔市卫生健康委员会（本级） 2023年度一般公共预算财政拨款基本支出决算</w:t>
      </w:r>
      <w:r>
        <w:rPr>
          <w:rFonts w:hint="eastAsia" w:ascii="仿宋" w:hAnsi="仿宋" w:eastAsia="仿宋" w:cs="仿宋"/>
          <w:kern w:val="0"/>
          <w:sz w:val="32"/>
          <w:szCs w:val="32"/>
          <w:u w:val="single"/>
        </w:rPr>
        <w:t xml:space="preserve"> 753.57</w:t>
      </w:r>
      <w:r>
        <w:rPr>
          <w:rFonts w:hint="eastAsia" w:ascii="仿宋" w:hAnsi="仿宋" w:eastAsia="仿宋" w:cs="仿宋"/>
          <w:kern w:val="0"/>
          <w:sz w:val="32"/>
          <w:szCs w:val="32"/>
        </w:rPr>
        <w:t>万元，其中：</w:t>
      </w:r>
    </w:p>
    <w:p>
      <w:pPr>
        <w:widowControl/>
        <w:spacing w:before="240" w:after="240"/>
        <w:rPr>
          <w:rFonts w:hint="eastAsia" w:ascii="仿宋" w:hAnsi="仿宋" w:eastAsia="仿宋" w:cs="仿宋"/>
          <w:kern w:val="0"/>
          <w:sz w:val="32"/>
          <w:szCs w:val="32"/>
        </w:rPr>
      </w:pPr>
      <w:r>
        <w:rPr>
          <w:rFonts w:hint="eastAsia" w:ascii="仿宋" w:hAnsi="仿宋" w:eastAsia="仿宋" w:cs="仿宋"/>
          <w:b/>
          <w:bCs/>
          <w:kern w:val="0"/>
          <w:sz w:val="32"/>
          <w:szCs w:val="32"/>
        </w:rPr>
        <w:t>    （一）人员经费</w:t>
      </w:r>
      <w:r>
        <w:rPr>
          <w:rFonts w:hint="eastAsia" w:ascii="仿宋" w:hAnsi="仿宋" w:eastAsia="仿宋" w:cs="仿宋"/>
          <w:kern w:val="0"/>
          <w:sz w:val="32"/>
          <w:szCs w:val="32"/>
          <w:u w:val="single"/>
        </w:rPr>
        <w:t xml:space="preserve"> 684.23</w:t>
      </w:r>
      <w:r>
        <w:rPr>
          <w:rFonts w:hint="eastAsia" w:ascii="仿宋" w:hAnsi="仿宋" w:eastAsia="仿宋" w:cs="仿宋"/>
          <w:b/>
          <w:bCs/>
          <w:kern w:val="0"/>
          <w:sz w:val="32"/>
          <w:szCs w:val="32"/>
        </w:rPr>
        <w:t>万元</w:t>
      </w:r>
      <w:r>
        <w:rPr>
          <w:rFonts w:hint="eastAsia" w:ascii="仿宋" w:hAnsi="仿宋" w:eastAsia="仿宋" w:cs="仿宋"/>
          <w:kern w:val="0"/>
          <w:sz w:val="32"/>
          <w:szCs w:val="32"/>
        </w:rPr>
        <w:t>。主要包括：基本工资160.69</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、津贴补贴197.49</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、奖金10.05</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、机关事业单位基本养老保险缴费41.08</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、职业年金缴费8.53</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、职工基本医疗保险缴费24.07</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、公务员医疗补助缴费14.63</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其他社会保障缴费5.07</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、离休费45.62</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、退休费65.78</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、抚恤金60.64</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、住房公积金44.58</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、其他对个人和家庭的补助支出6.00</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等。</w:t>
      </w:r>
    </w:p>
    <w:p>
      <w:pPr>
        <w:widowControl/>
        <w:spacing w:before="240" w:after="240"/>
        <w:rPr>
          <w:rFonts w:hint="eastAsia" w:ascii="仿宋" w:hAnsi="仿宋" w:eastAsia="仿宋" w:cs="仿宋"/>
          <w:kern w:val="0"/>
          <w:sz w:val="32"/>
          <w:szCs w:val="32"/>
        </w:rPr>
      </w:pPr>
      <w:r>
        <w:rPr>
          <w:rFonts w:hint="eastAsia" w:ascii="仿宋" w:hAnsi="仿宋" w:eastAsia="仿宋" w:cs="仿宋"/>
          <w:b/>
          <w:bCs/>
          <w:kern w:val="0"/>
          <w:sz w:val="32"/>
          <w:szCs w:val="32"/>
        </w:rPr>
        <w:t>    （二）公用经费</w:t>
      </w:r>
      <w:r>
        <w:rPr>
          <w:rFonts w:hint="eastAsia" w:ascii="仿宋" w:hAnsi="仿宋" w:eastAsia="仿宋" w:cs="仿宋"/>
          <w:kern w:val="0"/>
          <w:sz w:val="32"/>
          <w:szCs w:val="32"/>
          <w:u w:val="single"/>
        </w:rPr>
        <w:t xml:space="preserve"> 69.35</w:t>
      </w:r>
      <w:r>
        <w:rPr>
          <w:rFonts w:hint="eastAsia" w:ascii="仿宋" w:hAnsi="仿宋" w:eastAsia="仿宋" w:cs="仿宋"/>
          <w:b/>
          <w:bCs/>
          <w:kern w:val="0"/>
          <w:sz w:val="32"/>
          <w:szCs w:val="32"/>
        </w:rPr>
        <w:t>万元</w:t>
      </w:r>
      <w:r>
        <w:rPr>
          <w:rFonts w:hint="eastAsia" w:ascii="仿宋" w:hAnsi="仿宋" w:eastAsia="仿宋" w:cs="仿宋"/>
          <w:kern w:val="0"/>
          <w:sz w:val="32"/>
          <w:szCs w:val="32"/>
        </w:rPr>
        <w:t>。主要包括：办公费5.96</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、手续费0.01</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、水费0.78</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、电费1.85</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、邮电费3.49</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、取暖费6.24</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、物业管理费7.72</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、差旅费0.32</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、维修（护）费2.00</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、培训费0.23</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、公务接待费2.14</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、工会经费5.59</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、公务用车运行维护费4.42</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、其他交通费用24.57</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、其他商品和服务支出1.19</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、办公设备购置2.85</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等。</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内蒙古自治区巴彦淖尔市卫生健康委员会（本级） 2023年度一般公共预算财政拨款项目支出决算</w:t>
      </w:r>
      <w:r>
        <w:rPr>
          <w:rFonts w:hint="eastAsia" w:ascii="仿宋" w:hAnsi="仿宋" w:eastAsia="仿宋" w:cs="仿宋"/>
          <w:kern w:val="0"/>
          <w:sz w:val="32"/>
          <w:szCs w:val="32"/>
          <w:u w:val="single"/>
        </w:rPr>
        <w:t xml:space="preserve"> 1,411.87</w:t>
      </w:r>
      <w:r>
        <w:rPr>
          <w:rFonts w:hint="eastAsia" w:ascii="仿宋" w:hAnsi="仿宋" w:eastAsia="仿宋" w:cs="仿宋"/>
          <w:kern w:val="0"/>
          <w:sz w:val="32"/>
          <w:szCs w:val="32"/>
        </w:rPr>
        <w:t>万元，其中：</w:t>
      </w:r>
    </w:p>
    <w:p>
      <w:pPr>
        <w:keepNext w:val="0"/>
        <w:keepLines w:val="0"/>
        <w:pageBreakBefore w:val="0"/>
        <w:widowControl/>
        <w:numPr>
          <w:ilvl w:val="0"/>
          <w:numId w:val="3"/>
        </w:numPr>
        <w:kinsoku/>
        <w:wordWrap/>
        <w:overflowPunct/>
        <w:topLinePunct w:val="0"/>
        <w:autoSpaceDE/>
        <w:autoSpaceDN/>
        <w:bidi w:val="0"/>
        <w:adjustRightInd/>
        <w:snapToGrid/>
        <w:ind w:left="629" w:leftChars="0" w:firstLine="0" w:firstLineChars="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工资福利支出</w:t>
      </w:r>
      <w:r>
        <w:rPr>
          <w:rFonts w:hint="eastAsia" w:ascii="仿宋" w:hAnsi="仿宋" w:eastAsia="仿宋" w:cs="仿宋"/>
          <w:kern w:val="0"/>
          <w:sz w:val="32"/>
          <w:szCs w:val="32"/>
          <w:u w:val="single"/>
        </w:rPr>
        <w:t xml:space="preserve"> 0.00</w:t>
      </w:r>
      <w:r>
        <w:rPr>
          <w:rFonts w:hint="eastAsia" w:ascii="仿宋" w:hAnsi="仿宋" w:eastAsia="仿宋" w:cs="仿宋"/>
          <w:b/>
          <w:bCs/>
          <w:kern w:val="0"/>
          <w:sz w:val="32"/>
          <w:szCs w:val="32"/>
        </w:rPr>
        <w:t>万元</w:t>
      </w:r>
      <w:r>
        <w:rPr>
          <w:rFonts w:hint="eastAsia" w:ascii="仿宋" w:hAnsi="仿宋" w:eastAsia="仿宋" w:cs="仿宋"/>
          <w:kern w:val="0"/>
          <w:sz w:val="32"/>
          <w:szCs w:val="32"/>
        </w:rPr>
        <w:t>。</w:t>
      </w:r>
    </w:p>
    <w:p>
      <w:pPr>
        <w:keepNext w:val="0"/>
        <w:keepLines w:val="0"/>
        <w:pageBreakBefore w:val="0"/>
        <w:widowControl/>
        <w:numPr>
          <w:ilvl w:val="0"/>
          <w:numId w:val="3"/>
        </w:numPr>
        <w:kinsoku/>
        <w:wordWrap/>
        <w:overflowPunct/>
        <w:topLinePunct w:val="0"/>
        <w:autoSpaceDE/>
        <w:autoSpaceDN/>
        <w:bidi w:val="0"/>
        <w:adjustRightInd/>
        <w:snapToGrid/>
        <w:ind w:left="629" w:leftChars="0" w:firstLine="0" w:firstLineChars="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商品和服务支出</w:t>
      </w:r>
      <w:r>
        <w:rPr>
          <w:rFonts w:hint="eastAsia" w:ascii="仿宋" w:hAnsi="仿宋" w:eastAsia="仿宋" w:cs="仿宋"/>
          <w:kern w:val="0"/>
          <w:sz w:val="32"/>
          <w:szCs w:val="32"/>
          <w:u w:val="single"/>
        </w:rPr>
        <w:t xml:space="preserve"> 428.66</w:t>
      </w:r>
      <w:r>
        <w:rPr>
          <w:rFonts w:hint="eastAsia" w:ascii="仿宋" w:hAnsi="仿宋" w:eastAsia="仿宋" w:cs="仿宋"/>
          <w:b/>
          <w:bCs/>
          <w:kern w:val="0"/>
          <w:sz w:val="32"/>
          <w:szCs w:val="32"/>
        </w:rPr>
        <w:t>万元</w:t>
      </w:r>
      <w:r>
        <w:rPr>
          <w:rFonts w:hint="eastAsia" w:ascii="仿宋" w:hAnsi="仿宋" w:eastAsia="仿宋" w:cs="仿宋"/>
          <w:kern w:val="0"/>
          <w:sz w:val="32"/>
          <w:szCs w:val="32"/>
        </w:rPr>
        <w:t>。主要包括：办公费15.44</w:t>
      </w:r>
      <w:r>
        <w:rPr>
          <w:rFonts w:hint="eastAsia" w:ascii="仿宋" w:hAnsi="仿宋" w:eastAsia="仿宋" w:cs="仿宋"/>
          <w:kern w:val="0"/>
          <w:sz w:val="32"/>
          <w:szCs w:val="32"/>
          <w:lang w:eastAsia="zh-CN"/>
        </w:rPr>
        <w:t>万</w:t>
      </w: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、印刷费12.09</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、咨询费1.50</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、差旅费35.99</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、维修（护）费77.12</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、会议费0.99</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、培训费36.94</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、公务接待费0.50</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、专用材料费150.53</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、劳务费48.65</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、其他商品和服务支出38.83</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等。</w:t>
      </w:r>
    </w:p>
    <w:p>
      <w:pPr>
        <w:keepNext w:val="0"/>
        <w:keepLines w:val="0"/>
        <w:pageBreakBefore w:val="0"/>
        <w:widowControl/>
        <w:numPr>
          <w:ilvl w:val="0"/>
          <w:numId w:val="3"/>
        </w:numPr>
        <w:kinsoku/>
        <w:wordWrap/>
        <w:overflowPunct/>
        <w:topLinePunct w:val="0"/>
        <w:autoSpaceDE/>
        <w:autoSpaceDN/>
        <w:bidi w:val="0"/>
        <w:adjustRightInd/>
        <w:snapToGrid/>
        <w:ind w:left="630" w:leftChars="0" w:firstLine="0" w:firstLineChars="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对个人和家庭的补助</w:t>
      </w:r>
      <w:r>
        <w:rPr>
          <w:rFonts w:hint="eastAsia" w:ascii="仿宋" w:hAnsi="仿宋" w:eastAsia="仿宋" w:cs="仿宋"/>
          <w:kern w:val="0"/>
          <w:sz w:val="32"/>
          <w:szCs w:val="32"/>
          <w:lang w:val="en-US" w:eastAsia="zh-CN"/>
        </w:rPr>
        <w:t>111.42万元。主要包括：医疗费补助</w:t>
      </w: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106.42万元、其他对个人和家庭的补助5万元等。</w:t>
      </w:r>
    </w:p>
    <w:p>
      <w:pPr>
        <w:keepNext w:val="0"/>
        <w:keepLines w:val="0"/>
        <w:pageBreakBefore w:val="0"/>
        <w:widowControl/>
        <w:numPr>
          <w:ilvl w:val="0"/>
          <w:numId w:val="3"/>
        </w:numPr>
        <w:kinsoku/>
        <w:wordWrap/>
        <w:overflowPunct/>
        <w:topLinePunct w:val="0"/>
        <w:autoSpaceDE/>
        <w:autoSpaceDN/>
        <w:bidi w:val="0"/>
        <w:adjustRightInd/>
        <w:snapToGrid/>
        <w:ind w:left="630" w:leftChars="0" w:firstLine="0" w:firstLineChars="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资本性支出</w:t>
      </w:r>
      <w:r>
        <w:rPr>
          <w:rFonts w:hint="eastAsia" w:ascii="仿宋" w:hAnsi="仿宋" w:eastAsia="仿宋" w:cs="仿宋"/>
          <w:kern w:val="0"/>
          <w:sz w:val="32"/>
          <w:szCs w:val="32"/>
          <w:lang w:val="en-US" w:eastAsia="zh-CN"/>
        </w:rPr>
        <w:t>871.78万元。主要包括：办公设备购置35万</w:t>
      </w: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元、专用设备购置801.58万元、信息网络及软件购置更新35.20万元等。</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fang_song_gb2312" w:hAnsi="fang_song_gb2312" w:eastAsia="宋体" w:cs="fang_song_gb2312"/>
          <w:kern w:val="0"/>
          <w:sz w:val="27"/>
          <w:szCs w:val="27"/>
          <w:lang w:val="en-US" w:eastAsia="zh-CN"/>
        </w:rPr>
        <w:t xml:space="preserve"> </w:t>
      </w:r>
      <w:r>
        <w:rPr>
          <w:rFonts w:hint="eastAsia" w:ascii="仿宋" w:hAnsi="仿宋" w:eastAsia="仿宋" w:cs="仿宋"/>
          <w:kern w:val="0"/>
          <w:sz w:val="32"/>
          <w:szCs w:val="32"/>
        </w:rPr>
        <w:t>内蒙古自治区巴彦淖尔市卫生健康委员会（本级） 2023年度财政拨款“三公”经费全年预算</w:t>
      </w:r>
      <w:r>
        <w:rPr>
          <w:rFonts w:hint="eastAsia" w:ascii="仿宋" w:hAnsi="仿宋" w:eastAsia="仿宋" w:cs="仿宋"/>
          <w:kern w:val="0"/>
          <w:sz w:val="32"/>
          <w:szCs w:val="32"/>
          <w:u w:val="single"/>
        </w:rPr>
        <w:t xml:space="preserve"> 1</w:t>
      </w:r>
      <w:r>
        <w:rPr>
          <w:rFonts w:hint="eastAsia" w:ascii="仿宋" w:hAnsi="仿宋" w:eastAsia="仿宋" w:cs="仿宋"/>
          <w:kern w:val="0"/>
          <w:sz w:val="32"/>
          <w:szCs w:val="32"/>
          <w:u w:val="single"/>
          <w:lang w:val="en-US" w:eastAsia="zh-CN"/>
        </w:rPr>
        <w:t>7.59</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15.14</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86.07</w:t>
      </w:r>
      <w:r>
        <w:rPr>
          <w:rFonts w:hint="eastAsia" w:ascii="仿宋" w:hAnsi="仿宋" w:eastAsia="仿宋" w:cs="仿宋"/>
          <w:kern w:val="0"/>
          <w:sz w:val="32"/>
          <w:szCs w:val="32"/>
        </w:rPr>
        <w:t>%。其中：因公出国（境）费全年预算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%；公务用车购置及运行维护费全年预算</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14.95</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12.50</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83.61</w:t>
      </w:r>
      <w:r>
        <w:rPr>
          <w:rFonts w:hint="eastAsia" w:ascii="仿宋" w:hAnsi="仿宋" w:eastAsia="仿宋" w:cs="仿宋"/>
          <w:kern w:val="0"/>
          <w:sz w:val="32"/>
          <w:szCs w:val="32"/>
        </w:rPr>
        <w:t>%；公务接待费全年预算</w:t>
      </w:r>
      <w:r>
        <w:rPr>
          <w:rFonts w:hint="eastAsia" w:ascii="仿宋" w:hAnsi="仿宋" w:eastAsia="仿宋" w:cs="仿宋"/>
          <w:kern w:val="0"/>
          <w:sz w:val="32"/>
          <w:szCs w:val="32"/>
          <w:u w:val="single"/>
        </w:rPr>
        <w:t xml:space="preserve"> 2.64</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2.64</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100</w:t>
      </w:r>
      <w:r>
        <w:rPr>
          <w:rFonts w:hint="eastAsia" w:ascii="仿宋" w:hAnsi="仿宋" w:eastAsia="仿宋" w:cs="仿宋"/>
          <w:kern w:val="0"/>
          <w:sz w:val="32"/>
          <w:szCs w:val="32"/>
        </w:rPr>
        <w:t>%。2023年度一般公共预算财政拨款“三公”经费支出决算与预算差异原因</w:t>
      </w:r>
      <w:r>
        <w:rPr>
          <w:rFonts w:hint="eastAsia" w:ascii="仿宋" w:hAnsi="仿宋" w:eastAsia="仿宋" w:cs="仿宋"/>
          <w:kern w:val="0"/>
          <w:sz w:val="32"/>
          <w:szCs w:val="32"/>
          <w:lang w:eastAsia="zh-CN"/>
        </w:rPr>
        <w:t>厉行节约</w:t>
      </w:r>
      <w:r>
        <w:rPr>
          <w:rFonts w:hint="eastAsia" w:ascii="仿宋" w:hAnsi="仿宋" w:eastAsia="仿宋" w:cs="仿宋"/>
          <w:kern w:val="0"/>
          <w:sz w:val="32"/>
          <w:szCs w:val="32"/>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内蒙古自治区巴彦淖尔市卫生健康委员会（本级） 2023年度财政拨款“三公”经费支出</w:t>
      </w:r>
      <w:r>
        <w:rPr>
          <w:rFonts w:hint="eastAsia" w:ascii="仿宋" w:hAnsi="仿宋" w:eastAsia="仿宋" w:cs="仿宋"/>
          <w:kern w:val="0"/>
          <w:sz w:val="32"/>
          <w:szCs w:val="32"/>
          <w:u w:val="single"/>
        </w:rPr>
        <w:t xml:space="preserve"> 15.14</w:t>
      </w:r>
      <w:r>
        <w:rPr>
          <w:rFonts w:hint="eastAsia" w:ascii="仿宋" w:hAnsi="仿宋" w:eastAsia="仿宋" w:cs="仿宋"/>
          <w:kern w:val="0"/>
          <w:sz w:val="32"/>
          <w:szCs w:val="32"/>
        </w:rPr>
        <w:t>万元。因公出国（境）费支出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%；公务用车购置及运行维护费支出</w:t>
      </w:r>
      <w:r>
        <w:rPr>
          <w:rFonts w:hint="eastAsia" w:ascii="仿宋" w:hAnsi="仿宋" w:eastAsia="仿宋" w:cs="仿宋"/>
          <w:kern w:val="0"/>
          <w:sz w:val="32"/>
          <w:szCs w:val="32"/>
          <w:u w:val="single"/>
        </w:rPr>
        <w:t xml:space="preserve"> 12.50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82.58</w:t>
      </w:r>
      <w:r>
        <w:rPr>
          <w:rFonts w:hint="eastAsia" w:ascii="仿宋" w:hAnsi="仿宋" w:eastAsia="仿宋" w:cs="仿宋"/>
          <w:kern w:val="0"/>
          <w:sz w:val="32"/>
          <w:szCs w:val="32"/>
        </w:rPr>
        <w:t>%；公务接待费支出</w:t>
      </w:r>
      <w:r>
        <w:rPr>
          <w:rFonts w:hint="eastAsia" w:ascii="仿宋" w:hAnsi="仿宋" w:eastAsia="仿宋" w:cs="仿宋"/>
          <w:kern w:val="0"/>
          <w:sz w:val="32"/>
          <w:szCs w:val="32"/>
          <w:u w:val="single"/>
        </w:rPr>
        <w:t xml:space="preserve"> 2.64</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17.42</w:t>
      </w:r>
      <w:r>
        <w:rPr>
          <w:rFonts w:hint="eastAsia" w:ascii="仿宋" w:hAnsi="仿宋" w:eastAsia="仿宋" w:cs="仿宋"/>
          <w:kern w:val="0"/>
          <w:sz w:val="32"/>
          <w:szCs w:val="32"/>
        </w:rPr>
        <w:t>%。其中：</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1.因公出国（境）费支出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万元，全年出国（境）团组</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个，累计</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人次。与上年决算相比，增加（减少）</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万元，增长（减少）</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%，变动原因：</w:t>
      </w:r>
      <w:r>
        <w:rPr>
          <w:rFonts w:hint="eastAsia" w:ascii="仿宋" w:hAnsi="仿宋" w:eastAsia="仿宋" w:cs="仿宋"/>
          <w:kern w:val="0"/>
          <w:sz w:val="32"/>
          <w:szCs w:val="32"/>
          <w:lang w:eastAsia="zh-CN"/>
        </w:rPr>
        <w:t>无因公出国（境）费支出</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2.公务用车购置及运行维护费支出</w:t>
      </w:r>
      <w:r>
        <w:rPr>
          <w:rFonts w:hint="eastAsia" w:ascii="仿宋" w:hAnsi="仿宋" w:eastAsia="仿宋" w:cs="仿宋"/>
          <w:kern w:val="0"/>
          <w:sz w:val="32"/>
          <w:szCs w:val="32"/>
          <w:u w:val="single"/>
        </w:rPr>
        <w:t xml:space="preserve"> 12.50</w:t>
      </w:r>
      <w:r>
        <w:rPr>
          <w:rFonts w:hint="eastAsia" w:ascii="仿宋" w:hAnsi="仿宋" w:eastAsia="仿宋" w:cs="仿宋"/>
          <w:kern w:val="0"/>
          <w:sz w:val="32"/>
          <w:szCs w:val="32"/>
        </w:rPr>
        <w:t>万元。其中：</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（1）公务用车购置支出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万元。本年度使用财政拨款购置公务用车</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辆，开支内容：</w:t>
      </w:r>
      <w:r>
        <w:rPr>
          <w:rFonts w:hint="eastAsia" w:ascii="仿宋" w:hAnsi="仿宋" w:eastAsia="仿宋" w:cs="仿宋"/>
          <w:kern w:val="0"/>
          <w:sz w:val="32"/>
          <w:szCs w:val="32"/>
          <w:lang w:eastAsia="zh-CN"/>
        </w:rPr>
        <w:t>无公务用车购置支出</w:t>
      </w:r>
      <w:r>
        <w:rPr>
          <w:rFonts w:hint="eastAsia" w:ascii="仿宋" w:hAnsi="仿宋" w:eastAsia="仿宋" w:cs="仿宋"/>
          <w:kern w:val="0"/>
          <w:sz w:val="32"/>
          <w:szCs w:val="32"/>
        </w:rPr>
        <w:t>。与上年决算相比，增加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%，变动原因：</w:t>
      </w:r>
      <w:r>
        <w:rPr>
          <w:rFonts w:hint="eastAsia" w:ascii="仿宋" w:hAnsi="仿宋" w:eastAsia="仿宋" w:cs="仿宋"/>
          <w:kern w:val="0"/>
          <w:sz w:val="32"/>
          <w:szCs w:val="32"/>
          <w:lang w:eastAsia="zh-CN"/>
        </w:rPr>
        <w:t>无公务用车购置支出</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（2）公务用车运行维护费支出</w:t>
      </w:r>
      <w:r>
        <w:rPr>
          <w:rFonts w:hint="eastAsia" w:ascii="仿宋" w:hAnsi="仿宋" w:eastAsia="仿宋" w:cs="仿宋"/>
          <w:kern w:val="0"/>
          <w:sz w:val="32"/>
          <w:szCs w:val="32"/>
          <w:u w:val="single"/>
        </w:rPr>
        <w:t xml:space="preserve"> 12.50</w:t>
      </w:r>
      <w:r>
        <w:rPr>
          <w:rFonts w:hint="eastAsia" w:ascii="仿宋" w:hAnsi="仿宋" w:eastAsia="仿宋" w:cs="仿宋"/>
          <w:kern w:val="0"/>
          <w:sz w:val="32"/>
          <w:szCs w:val="32"/>
        </w:rPr>
        <w:t>万元。公务用车运行维护费主要用于按规定保留的公务用车的燃料费、维修费、过桥过路费、保险费、安全奖励费用等支出。截至2023年12月31日，使用财政拨款开支的公务用车保有量为</w:t>
      </w:r>
      <w:r>
        <w:rPr>
          <w:rFonts w:hint="eastAsia" w:ascii="仿宋" w:hAnsi="仿宋" w:eastAsia="仿宋" w:cs="仿宋"/>
          <w:kern w:val="0"/>
          <w:sz w:val="32"/>
          <w:szCs w:val="32"/>
          <w:u w:val="single"/>
        </w:rPr>
        <w:t xml:space="preserve">2 </w:t>
      </w:r>
      <w:r>
        <w:rPr>
          <w:rFonts w:hint="eastAsia" w:ascii="仿宋" w:hAnsi="仿宋" w:eastAsia="仿宋" w:cs="仿宋"/>
          <w:kern w:val="0"/>
          <w:sz w:val="32"/>
          <w:szCs w:val="32"/>
        </w:rPr>
        <w:t>辆。与上年决算相比，减少</w:t>
      </w:r>
      <w:r>
        <w:rPr>
          <w:rFonts w:hint="eastAsia" w:ascii="仿宋" w:hAnsi="仿宋" w:eastAsia="仿宋" w:cs="仿宋"/>
          <w:kern w:val="0"/>
          <w:sz w:val="32"/>
          <w:szCs w:val="32"/>
          <w:u w:val="single"/>
        </w:rPr>
        <w:t>1.72</w:t>
      </w:r>
      <w:r>
        <w:rPr>
          <w:rFonts w:hint="eastAsia" w:ascii="仿宋" w:hAnsi="仿宋" w:eastAsia="仿宋" w:cs="仿宋"/>
          <w:kern w:val="0"/>
          <w:sz w:val="32"/>
          <w:szCs w:val="32"/>
        </w:rPr>
        <w:t>万元，减少</w:t>
      </w:r>
      <w:r>
        <w:rPr>
          <w:rFonts w:hint="eastAsia" w:ascii="仿宋" w:hAnsi="仿宋" w:eastAsia="仿宋" w:cs="仿宋"/>
          <w:kern w:val="0"/>
          <w:sz w:val="32"/>
          <w:szCs w:val="32"/>
          <w:u w:val="single"/>
        </w:rPr>
        <w:t>12.08</w:t>
      </w:r>
      <w:r>
        <w:rPr>
          <w:rFonts w:hint="eastAsia" w:ascii="仿宋" w:hAnsi="仿宋" w:eastAsia="仿宋" w:cs="仿宋"/>
          <w:kern w:val="0"/>
          <w:sz w:val="32"/>
          <w:szCs w:val="32"/>
        </w:rPr>
        <w:t>%，变动原因：</w:t>
      </w:r>
      <w:r>
        <w:rPr>
          <w:rFonts w:hint="eastAsia" w:ascii="仿宋" w:hAnsi="仿宋" w:eastAsia="仿宋" w:cs="仿宋"/>
          <w:kern w:val="0"/>
          <w:sz w:val="32"/>
          <w:szCs w:val="32"/>
          <w:lang w:eastAsia="zh-CN"/>
        </w:rPr>
        <w:t>厉行节约</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3.公务接待费支出</w:t>
      </w:r>
      <w:r>
        <w:rPr>
          <w:rFonts w:hint="eastAsia" w:ascii="仿宋" w:hAnsi="仿宋" w:eastAsia="仿宋" w:cs="仿宋"/>
          <w:kern w:val="0"/>
          <w:sz w:val="32"/>
          <w:szCs w:val="32"/>
          <w:u w:val="single"/>
        </w:rPr>
        <w:t xml:space="preserve"> 2.64</w:t>
      </w:r>
      <w:r>
        <w:rPr>
          <w:rFonts w:hint="eastAsia" w:ascii="仿宋" w:hAnsi="仿宋" w:eastAsia="仿宋" w:cs="仿宋"/>
          <w:kern w:val="0"/>
          <w:sz w:val="32"/>
          <w:szCs w:val="32"/>
        </w:rPr>
        <w:t>万元。其中：国内公务接待支出</w:t>
      </w:r>
      <w:r>
        <w:rPr>
          <w:rFonts w:hint="eastAsia" w:ascii="仿宋" w:hAnsi="仿宋" w:eastAsia="仿宋" w:cs="仿宋"/>
          <w:kern w:val="0"/>
          <w:sz w:val="32"/>
          <w:szCs w:val="32"/>
          <w:u w:val="single"/>
        </w:rPr>
        <w:t xml:space="preserve"> 2.64</w:t>
      </w:r>
      <w:r>
        <w:rPr>
          <w:rFonts w:hint="eastAsia" w:ascii="仿宋" w:hAnsi="仿宋" w:eastAsia="仿宋" w:cs="仿宋"/>
          <w:kern w:val="0"/>
          <w:sz w:val="32"/>
          <w:szCs w:val="32"/>
        </w:rPr>
        <w:t>万元，接待</w:t>
      </w:r>
      <w:r>
        <w:rPr>
          <w:rFonts w:hint="eastAsia" w:ascii="仿宋" w:hAnsi="仿宋" w:eastAsia="仿宋" w:cs="仿宋"/>
          <w:kern w:val="0"/>
          <w:sz w:val="32"/>
          <w:szCs w:val="32"/>
          <w:u w:val="single"/>
        </w:rPr>
        <w:t xml:space="preserve">40 </w:t>
      </w:r>
      <w:r>
        <w:rPr>
          <w:rFonts w:hint="eastAsia" w:ascii="仿宋" w:hAnsi="仿宋" w:eastAsia="仿宋" w:cs="仿宋"/>
          <w:kern w:val="0"/>
          <w:sz w:val="32"/>
          <w:szCs w:val="32"/>
        </w:rPr>
        <w:t>批次，</w:t>
      </w:r>
      <w:r>
        <w:rPr>
          <w:rFonts w:hint="eastAsia" w:ascii="仿宋" w:hAnsi="仿宋" w:eastAsia="仿宋" w:cs="仿宋"/>
          <w:kern w:val="0"/>
          <w:sz w:val="32"/>
          <w:szCs w:val="32"/>
          <w:u w:val="single"/>
        </w:rPr>
        <w:t xml:space="preserve">263 </w:t>
      </w:r>
      <w:r>
        <w:rPr>
          <w:rFonts w:hint="eastAsia" w:ascii="仿宋" w:hAnsi="仿宋" w:eastAsia="仿宋" w:cs="仿宋"/>
          <w:kern w:val="0"/>
          <w:sz w:val="32"/>
          <w:szCs w:val="32"/>
        </w:rPr>
        <w:t>人次，开支内容：</w:t>
      </w:r>
      <w:r>
        <w:rPr>
          <w:rFonts w:hint="eastAsia" w:ascii="仿宋" w:hAnsi="仿宋" w:eastAsia="仿宋" w:cs="仿宋"/>
          <w:kern w:val="0"/>
          <w:sz w:val="32"/>
          <w:szCs w:val="32"/>
          <w:lang w:eastAsia="zh-CN"/>
        </w:rPr>
        <w:t>接待各项工作检查组</w:t>
      </w:r>
      <w:r>
        <w:rPr>
          <w:rFonts w:hint="eastAsia" w:ascii="仿宋" w:hAnsi="仿宋" w:eastAsia="仿宋" w:cs="仿宋"/>
          <w:kern w:val="0"/>
          <w:sz w:val="32"/>
          <w:szCs w:val="32"/>
        </w:rPr>
        <w:t>；国（境）外公务接待支出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万元，接待</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批次，</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人次，开支内容：</w:t>
      </w:r>
      <w:r>
        <w:rPr>
          <w:rFonts w:hint="eastAsia" w:ascii="仿宋" w:hAnsi="仿宋" w:eastAsia="仿宋" w:cs="仿宋"/>
          <w:kern w:val="0"/>
          <w:sz w:val="32"/>
          <w:szCs w:val="32"/>
          <w:lang w:eastAsia="zh-CN"/>
        </w:rPr>
        <w:t>无</w:t>
      </w:r>
      <w:r>
        <w:rPr>
          <w:rFonts w:hint="eastAsia" w:ascii="仿宋" w:hAnsi="仿宋" w:eastAsia="仿宋" w:cs="仿宋"/>
          <w:kern w:val="0"/>
          <w:sz w:val="32"/>
          <w:szCs w:val="32"/>
        </w:rPr>
        <w:t>国（境）外公务接待。与上年决算相比，减少</w:t>
      </w:r>
      <w:r>
        <w:rPr>
          <w:rFonts w:hint="eastAsia" w:ascii="仿宋" w:hAnsi="仿宋" w:eastAsia="仿宋" w:cs="仿宋"/>
          <w:kern w:val="0"/>
          <w:sz w:val="32"/>
          <w:szCs w:val="32"/>
          <w:u w:val="single"/>
        </w:rPr>
        <w:t>0.78</w:t>
      </w:r>
      <w:r>
        <w:rPr>
          <w:rFonts w:hint="eastAsia" w:ascii="仿宋" w:hAnsi="仿宋" w:eastAsia="仿宋" w:cs="仿宋"/>
          <w:kern w:val="0"/>
          <w:sz w:val="32"/>
          <w:szCs w:val="32"/>
        </w:rPr>
        <w:t>万元，减少</w:t>
      </w:r>
      <w:r>
        <w:rPr>
          <w:rFonts w:hint="eastAsia" w:ascii="仿宋" w:hAnsi="仿宋" w:eastAsia="仿宋" w:cs="仿宋"/>
          <w:kern w:val="0"/>
          <w:sz w:val="32"/>
          <w:szCs w:val="32"/>
          <w:u w:val="single"/>
        </w:rPr>
        <w:t>22.91</w:t>
      </w:r>
      <w:r>
        <w:rPr>
          <w:rFonts w:hint="eastAsia" w:ascii="仿宋" w:hAnsi="仿宋" w:eastAsia="仿宋" w:cs="仿宋"/>
          <w:kern w:val="0"/>
          <w:sz w:val="32"/>
          <w:szCs w:val="32"/>
        </w:rPr>
        <w:t>%，变动原因：</w:t>
      </w:r>
      <w:r>
        <w:rPr>
          <w:rFonts w:hint="eastAsia" w:ascii="仿宋" w:hAnsi="仿宋" w:eastAsia="仿宋" w:cs="仿宋"/>
          <w:kern w:val="0"/>
          <w:sz w:val="32"/>
          <w:szCs w:val="32"/>
          <w:lang w:eastAsia="zh-CN"/>
        </w:rPr>
        <w:t>厉行节约</w:t>
      </w:r>
      <w:r>
        <w:rPr>
          <w:rFonts w:hint="eastAsia" w:ascii="仿宋" w:hAnsi="仿宋" w:eastAsia="仿宋" w:cs="仿宋"/>
          <w:kern w:val="0"/>
          <w:sz w:val="32"/>
          <w:szCs w:val="32"/>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内蒙古自治区巴彦淖尔市卫生健康委员会（本级） 2023年度政府性基金预算财政拨款支出决算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万元。与上年决算相比，减少</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万元，减少</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%，变动原因：</w:t>
      </w:r>
      <w:r>
        <w:rPr>
          <w:rFonts w:hint="eastAsia" w:ascii="仿宋" w:hAnsi="仿宋" w:eastAsia="仿宋" w:cs="仿宋"/>
          <w:color w:val="auto"/>
          <w:kern w:val="0"/>
          <w:sz w:val="32"/>
          <w:szCs w:val="32"/>
        </w:rPr>
        <w:t>本年无政府性基金预算财政拨款收、支、余</w:t>
      </w:r>
      <w:r>
        <w:rPr>
          <w:rFonts w:hint="eastAsia" w:ascii="仿宋" w:hAnsi="仿宋" w:eastAsia="仿宋" w:cs="仿宋"/>
          <w:kern w:val="0"/>
          <w:sz w:val="32"/>
          <w:szCs w:val="32"/>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color w:val="0E00FE"/>
          <w:kern w:val="0"/>
          <w:sz w:val="27"/>
          <w:szCs w:val="27"/>
        </w:rPr>
        <w:t xml:space="preserve">    </w:t>
      </w:r>
      <w:r>
        <w:rPr>
          <w:rFonts w:hint="eastAsia" w:ascii="fang_song_gb2312" w:hAnsi="fang_song_gb2312" w:eastAsia="宋体" w:cs="fang_song_gb2312"/>
          <w:color w:val="0E00FE"/>
          <w:kern w:val="0"/>
          <w:sz w:val="27"/>
          <w:szCs w:val="27"/>
          <w:lang w:val="en-US" w:eastAsia="zh-CN"/>
        </w:rPr>
        <w:t xml:space="preserve"> </w:t>
      </w:r>
      <w:r>
        <w:rPr>
          <w:rFonts w:hint="eastAsia" w:ascii="仿宋" w:hAnsi="仿宋" w:eastAsia="仿宋" w:cs="仿宋"/>
          <w:kern w:val="0"/>
          <w:sz w:val="32"/>
          <w:szCs w:val="32"/>
        </w:rPr>
        <w:t>内蒙古自治区巴彦淖尔市卫生健康委员会（本级） 2023年度国有资本经营预算财政拨款支出决算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万元。与上年决算相比，减少</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%，变动原因：</w:t>
      </w:r>
      <w:r>
        <w:rPr>
          <w:rFonts w:hint="eastAsia" w:ascii="仿宋" w:hAnsi="仿宋" w:eastAsia="仿宋" w:cs="仿宋"/>
          <w:color w:val="auto"/>
          <w:kern w:val="0"/>
          <w:sz w:val="32"/>
          <w:szCs w:val="32"/>
        </w:rPr>
        <w:t>本年无国有资本经营预算财政拨款收、支、余。</w:t>
      </w:r>
    </w:p>
    <w:p>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内蒙古自治区巴彦淖尔市卫生健康委员会（本级） 2023年度机构运行经费支出决算</w:t>
      </w:r>
      <w:r>
        <w:rPr>
          <w:rFonts w:hint="eastAsia" w:ascii="仿宋" w:hAnsi="仿宋" w:eastAsia="仿宋" w:cs="仿宋"/>
          <w:kern w:val="0"/>
          <w:sz w:val="32"/>
          <w:szCs w:val="32"/>
          <w:u w:val="single"/>
        </w:rPr>
        <w:t xml:space="preserve"> 69.35</w:t>
      </w:r>
      <w:r>
        <w:rPr>
          <w:rFonts w:hint="eastAsia" w:ascii="仿宋" w:hAnsi="仿宋" w:eastAsia="仿宋" w:cs="仿宋"/>
          <w:kern w:val="0"/>
          <w:sz w:val="32"/>
          <w:szCs w:val="32"/>
        </w:rPr>
        <w:t>万元。比上年决算相比，减少</w:t>
      </w:r>
      <w:r>
        <w:rPr>
          <w:rFonts w:hint="eastAsia" w:ascii="仿宋" w:hAnsi="仿宋" w:eastAsia="仿宋" w:cs="仿宋"/>
          <w:kern w:val="0"/>
          <w:sz w:val="32"/>
          <w:szCs w:val="32"/>
          <w:u w:val="single"/>
        </w:rPr>
        <w:t>2.91</w:t>
      </w:r>
      <w:r>
        <w:rPr>
          <w:rFonts w:hint="eastAsia" w:ascii="仿宋" w:hAnsi="仿宋" w:eastAsia="仿宋" w:cs="仿宋"/>
          <w:kern w:val="0"/>
          <w:sz w:val="32"/>
          <w:szCs w:val="32"/>
        </w:rPr>
        <w:t>万元，减少</w:t>
      </w:r>
      <w:r>
        <w:rPr>
          <w:rFonts w:hint="eastAsia" w:ascii="仿宋" w:hAnsi="仿宋" w:eastAsia="仿宋" w:cs="仿宋"/>
          <w:kern w:val="0"/>
          <w:sz w:val="32"/>
          <w:szCs w:val="32"/>
          <w:u w:val="single"/>
        </w:rPr>
        <w:t>4.03</w:t>
      </w:r>
      <w:r>
        <w:rPr>
          <w:rFonts w:hint="eastAsia" w:ascii="仿宋" w:hAnsi="仿宋" w:eastAsia="仿宋" w:cs="仿宋"/>
          <w:kern w:val="0"/>
          <w:sz w:val="32"/>
          <w:szCs w:val="32"/>
        </w:rPr>
        <w:t>%，变动原因：</w:t>
      </w:r>
      <w:r>
        <w:rPr>
          <w:rFonts w:hint="eastAsia" w:ascii="仿宋" w:hAnsi="仿宋" w:eastAsia="仿宋" w:cs="仿宋"/>
          <w:kern w:val="0"/>
          <w:sz w:val="32"/>
          <w:szCs w:val="32"/>
          <w:lang w:eastAsia="zh-CN"/>
        </w:rPr>
        <w:t>厉行节约</w:t>
      </w:r>
      <w:r>
        <w:rPr>
          <w:rFonts w:hint="eastAsia" w:ascii="仿宋" w:hAnsi="仿宋" w:eastAsia="仿宋" w:cs="仿宋"/>
          <w:kern w:val="0"/>
          <w:sz w:val="32"/>
          <w:szCs w:val="32"/>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内蒙古自治区巴彦淖尔市卫生健康委员会（本级） 2023年度政府采购支出总额</w:t>
      </w:r>
      <w:r>
        <w:rPr>
          <w:rFonts w:hint="eastAsia" w:ascii="仿宋" w:hAnsi="仿宋" w:eastAsia="仿宋" w:cs="仿宋"/>
          <w:kern w:val="0"/>
          <w:sz w:val="32"/>
          <w:szCs w:val="32"/>
          <w:u w:val="single"/>
        </w:rPr>
        <w:t xml:space="preserve"> 169.68</w:t>
      </w:r>
      <w:r>
        <w:rPr>
          <w:rFonts w:hint="eastAsia" w:ascii="仿宋" w:hAnsi="仿宋" w:eastAsia="仿宋" w:cs="仿宋"/>
          <w:kern w:val="0"/>
          <w:sz w:val="32"/>
          <w:szCs w:val="32"/>
        </w:rPr>
        <w:t>万元，其中：政府采购货物支出</w:t>
      </w:r>
      <w:r>
        <w:rPr>
          <w:rFonts w:hint="eastAsia" w:ascii="仿宋" w:hAnsi="仿宋" w:eastAsia="仿宋" w:cs="仿宋"/>
          <w:kern w:val="0"/>
          <w:sz w:val="32"/>
          <w:szCs w:val="32"/>
          <w:u w:val="single"/>
        </w:rPr>
        <w:t xml:space="preserve"> 137.19</w:t>
      </w:r>
      <w:r>
        <w:rPr>
          <w:rFonts w:hint="eastAsia" w:ascii="仿宋" w:hAnsi="仿宋" w:eastAsia="仿宋" w:cs="仿宋"/>
          <w:kern w:val="0"/>
          <w:sz w:val="32"/>
          <w:szCs w:val="32"/>
        </w:rPr>
        <w:t>万元、政府采购工程支出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万元、政府采购服务支出</w:t>
      </w:r>
      <w:r>
        <w:rPr>
          <w:rFonts w:hint="eastAsia" w:ascii="仿宋" w:hAnsi="仿宋" w:eastAsia="仿宋" w:cs="仿宋"/>
          <w:kern w:val="0"/>
          <w:sz w:val="32"/>
          <w:szCs w:val="32"/>
          <w:u w:val="single"/>
        </w:rPr>
        <w:t xml:space="preserve"> 32.49</w:t>
      </w:r>
      <w:r>
        <w:rPr>
          <w:rFonts w:hint="eastAsia" w:ascii="仿宋" w:hAnsi="仿宋" w:eastAsia="仿宋" w:cs="仿宋"/>
          <w:kern w:val="0"/>
          <w:sz w:val="32"/>
          <w:szCs w:val="32"/>
        </w:rPr>
        <w:t>万元。政府采购授予中小企业合同金额</w:t>
      </w:r>
      <w:r>
        <w:rPr>
          <w:rFonts w:hint="eastAsia" w:ascii="仿宋" w:hAnsi="仿宋" w:eastAsia="仿宋" w:cs="仿宋"/>
          <w:kern w:val="0"/>
          <w:sz w:val="32"/>
          <w:szCs w:val="32"/>
          <w:u w:val="single"/>
        </w:rPr>
        <w:t xml:space="preserve"> 120.44</w:t>
      </w:r>
      <w:r>
        <w:rPr>
          <w:rFonts w:hint="eastAsia" w:ascii="仿宋" w:hAnsi="仿宋" w:eastAsia="仿宋" w:cs="仿宋"/>
          <w:kern w:val="0"/>
          <w:sz w:val="32"/>
          <w:szCs w:val="32"/>
        </w:rPr>
        <w:t>万元，占政府采购支出总额的</w:t>
      </w:r>
      <w:r>
        <w:rPr>
          <w:rFonts w:hint="eastAsia" w:ascii="仿宋" w:hAnsi="仿宋" w:eastAsia="仿宋" w:cs="仿宋"/>
          <w:kern w:val="0"/>
          <w:sz w:val="32"/>
          <w:szCs w:val="32"/>
          <w:u w:val="single"/>
          <w:lang w:val="en-US" w:eastAsia="zh-CN"/>
        </w:rPr>
        <w:t>70.98</w:t>
      </w:r>
      <w:r>
        <w:rPr>
          <w:rFonts w:hint="eastAsia" w:ascii="仿宋" w:hAnsi="仿宋" w:eastAsia="仿宋" w:cs="仿宋"/>
          <w:kern w:val="0"/>
          <w:sz w:val="32"/>
          <w:szCs w:val="32"/>
        </w:rPr>
        <w:t>%，其中：授予小微企业合同金额</w:t>
      </w:r>
      <w:r>
        <w:rPr>
          <w:rFonts w:hint="eastAsia" w:ascii="仿宋" w:hAnsi="仿宋" w:eastAsia="仿宋" w:cs="仿宋"/>
          <w:kern w:val="0"/>
          <w:sz w:val="32"/>
          <w:szCs w:val="32"/>
          <w:u w:val="single"/>
        </w:rPr>
        <w:t>  116.21</w:t>
      </w:r>
      <w:r>
        <w:rPr>
          <w:rFonts w:hint="eastAsia" w:ascii="仿宋" w:hAnsi="仿宋" w:eastAsia="仿宋" w:cs="仿宋"/>
          <w:kern w:val="0"/>
          <w:sz w:val="32"/>
          <w:szCs w:val="32"/>
        </w:rPr>
        <w:t>万元，占政府采购支出总额的</w:t>
      </w:r>
      <w:r>
        <w:rPr>
          <w:rFonts w:hint="eastAsia" w:ascii="仿宋" w:hAnsi="仿宋" w:eastAsia="仿宋" w:cs="仿宋"/>
          <w:kern w:val="0"/>
          <w:sz w:val="32"/>
          <w:szCs w:val="32"/>
          <w:u w:val="single"/>
          <w:lang w:val="en-US" w:eastAsia="zh-CN"/>
        </w:rPr>
        <w:t>68.49</w:t>
      </w:r>
      <w:r>
        <w:rPr>
          <w:rFonts w:hint="eastAsia" w:ascii="仿宋" w:hAnsi="仿宋" w:eastAsia="仿宋" w:cs="仿宋"/>
          <w:kern w:val="0"/>
          <w:sz w:val="32"/>
          <w:szCs w:val="32"/>
        </w:rPr>
        <w:t>%；货物采购授予中小企业合同金额占货物支出金额的</w:t>
      </w:r>
      <w:r>
        <w:rPr>
          <w:rFonts w:hint="eastAsia" w:ascii="仿宋" w:hAnsi="仿宋" w:eastAsia="仿宋" w:cs="仿宋"/>
          <w:kern w:val="0"/>
          <w:sz w:val="32"/>
          <w:szCs w:val="32"/>
          <w:u w:val="single"/>
          <w:lang w:val="en-US" w:eastAsia="zh-CN"/>
        </w:rPr>
        <w:t>70.98</w:t>
      </w:r>
      <w:r>
        <w:rPr>
          <w:rFonts w:hint="eastAsia" w:ascii="仿宋" w:hAnsi="仿宋" w:eastAsia="仿宋" w:cs="仿宋"/>
          <w:kern w:val="0"/>
          <w:sz w:val="32"/>
          <w:szCs w:val="32"/>
        </w:rPr>
        <w:t>%，工程采购授予中小企业合同金额占工程支出金额的</w:t>
      </w:r>
      <w:r>
        <w:rPr>
          <w:rFonts w:hint="eastAsia" w:ascii="仿宋" w:hAnsi="仿宋" w:eastAsia="仿宋" w:cs="仿宋"/>
          <w:kern w:val="0"/>
          <w:sz w:val="32"/>
          <w:szCs w:val="32"/>
          <w:u w:val="single"/>
          <w:lang w:val="en-US" w:eastAsia="zh-CN"/>
        </w:rPr>
        <w:t>100</w:t>
      </w:r>
      <w:r>
        <w:rPr>
          <w:rFonts w:hint="eastAsia" w:ascii="仿宋" w:hAnsi="仿宋" w:eastAsia="仿宋" w:cs="仿宋"/>
          <w:kern w:val="0"/>
          <w:sz w:val="32"/>
          <w:szCs w:val="32"/>
        </w:rPr>
        <w:t>%，服务采购授予中小企业合同金额占服务支出金额的</w:t>
      </w:r>
      <w:r>
        <w:rPr>
          <w:rFonts w:hint="eastAsia" w:ascii="仿宋" w:hAnsi="仿宋" w:eastAsia="仿宋" w:cs="仿宋"/>
          <w:kern w:val="0"/>
          <w:sz w:val="32"/>
          <w:szCs w:val="32"/>
          <w:u w:val="single"/>
          <w:lang w:val="en-US" w:eastAsia="zh-CN"/>
        </w:rPr>
        <w:t>100</w:t>
      </w:r>
      <w:r>
        <w:rPr>
          <w:rFonts w:hint="eastAsia" w:ascii="仿宋" w:hAnsi="仿宋" w:eastAsia="仿宋" w:cs="仿宋"/>
          <w:kern w:val="0"/>
          <w:sz w:val="32"/>
          <w:szCs w:val="32"/>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内蒙古自治区巴彦淖尔市卫生健康委员会（本级） 截至2023年12月31日，本单位共有车辆</w:t>
      </w:r>
      <w:r>
        <w:rPr>
          <w:rFonts w:hint="eastAsia" w:ascii="仿宋" w:hAnsi="仿宋" w:eastAsia="仿宋" w:cs="仿宋"/>
          <w:kern w:val="0"/>
          <w:sz w:val="32"/>
          <w:szCs w:val="32"/>
          <w:u w:val="single"/>
        </w:rPr>
        <w:t xml:space="preserve"> 2</w:t>
      </w:r>
      <w:r>
        <w:rPr>
          <w:rFonts w:hint="eastAsia" w:ascii="仿宋" w:hAnsi="仿宋" w:eastAsia="仿宋" w:cs="仿宋"/>
          <w:kern w:val="0"/>
          <w:sz w:val="32"/>
          <w:szCs w:val="32"/>
        </w:rPr>
        <w:t>辆，其中：副部（省）级及以上领导用车</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辆、主要负责人用车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辆、机要通信用车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辆、应急保障用车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辆、执法执勤用车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辆、特种专业技术用车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辆、离退休干部服务用车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辆，其他用车</w:t>
      </w:r>
      <w:r>
        <w:rPr>
          <w:rFonts w:hint="eastAsia" w:ascii="仿宋" w:hAnsi="仿宋" w:eastAsia="仿宋" w:cs="仿宋"/>
          <w:kern w:val="0"/>
          <w:sz w:val="32"/>
          <w:szCs w:val="32"/>
          <w:u w:val="single"/>
        </w:rPr>
        <w:t xml:space="preserve"> 2</w:t>
      </w:r>
      <w:r>
        <w:rPr>
          <w:rFonts w:hint="eastAsia" w:ascii="仿宋" w:hAnsi="仿宋" w:eastAsia="仿宋" w:cs="仿宋"/>
          <w:kern w:val="0"/>
          <w:sz w:val="32"/>
          <w:szCs w:val="32"/>
        </w:rPr>
        <w:t>辆；单价100万元（含）以上的设备（不含车辆）</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台（套）。</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内蒙古自治区巴彦淖尔市卫生健康委员会（本级） 根据预算绩效管理要求组织对2023年一般公共预算项目支出全面开展绩效自评，其中一级项目</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个，二级项目</w:t>
      </w:r>
      <w:r>
        <w:rPr>
          <w:rFonts w:hint="eastAsia" w:ascii="仿宋" w:hAnsi="仿宋" w:eastAsia="仿宋" w:cs="仿宋"/>
          <w:kern w:val="0"/>
          <w:sz w:val="32"/>
          <w:szCs w:val="32"/>
          <w:u w:val="single"/>
          <w:lang w:val="en-US" w:eastAsia="zh-CN"/>
        </w:rPr>
        <w:t>7</w:t>
      </w:r>
      <w:r>
        <w:rPr>
          <w:rFonts w:hint="eastAsia" w:ascii="仿宋" w:hAnsi="仿宋" w:eastAsia="仿宋" w:cs="仿宋"/>
          <w:kern w:val="0"/>
          <w:sz w:val="32"/>
          <w:szCs w:val="32"/>
        </w:rPr>
        <w:t>个，共涉及资金</w:t>
      </w:r>
      <w:r>
        <w:rPr>
          <w:rFonts w:hint="eastAsia" w:ascii="仿宋" w:hAnsi="仿宋" w:eastAsia="仿宋" w:cs="仿宋"/>
          <w:kern w:val="0"/>
          <w:sz w:val="32"/>
          <w:szCs w:val="32"/>
          <w:u w:val="single"/>
          <w:lang w:val="en-US" w:eastAsia="zh-CN"/>
        </w:rPr>
        <w:t>1412.37</w:t>
      </w:r>
      <w:r>
        <w:rPr>
          <w:rFonts w:hint="eastAsia" w:ascii="仿宋" w:hAnsi="仿宋" w:eastAsia="仿宋" w:cs="仿宋"/>
          <w:kern w:val="0"/>
          <w:sz w:val="32"/>
          <w:szCs w:val="32"/>
        </w:rPr>
        <w:t>万元，占一般公共预算项目</w:t>
      </w:r>
      <w:r>
        <w:rPr>
          <w:rFonts w:hint="eastAsia" w:ascii="仿宋" w:hAnsi="仿宋" w:eastAsia="仿宋" w:cs="仿宋"/>
          <w:kern w:val="0"/>
          <w:sz w:val="32"/>
          <w:szCs w:val="32"/>
          <w:lang w:eastAsia="zh-CN"/>
        </w:rPr>
        <w:t>年初预算</w:t>
      </w:r>
      <w:r>
        <w:rPr>
          <w:rFonts w:hint="eastAsia" w:ascii="仿宋" w:hAnsi="仿宋" w:eastAsia="仿宋" w:cs="仿宋"/>
          <w:kern w:val="0"/>
          <w:sz w:val="32"/>
          <w:szCs w:val="32"/>
        </w:rPr>
        <w:t>支出总额的100%；政府性基金预算项目</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个，其中，一级项目</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个，二级项目</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个，共涉及资金</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万元，占应纳入绩效自评的政府性基金预算项目支出总额的100%。</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firstLine="640"/>
        <w:jc w:val="both"/>
        <w:textAlignment w:val="auto"/>
        <w:rPr>
          <w:rFonts w:hint="eastAsia" w:ascii="仿宋" w:hAnsi="仿宋" w:eastAsia="仿宋" w:cs="仿宋"/>
          <w:sz w:val="32"/>
          <w:szCs w:val="32"/>
        </w:rPr>
      </w:pPr>
      <w:r>
        <w:rPr>
          <w:rFonts w:hint="eastAsia" w:ascii="仿宋" w:hAnsi="仿宋" w:eastAsia="仿宋" w:cs="仿宋"/>
          <w:kern w:val="0"/>
          <w:sz w:val="32"/>
          <w:szCs w:val="32"/>
        </w:rPr>
        <w:t>组织对“市保健委经费项目”、“卫生专业技术考试经费项目”、“卫生健康事业费项目”等</w:t>
      </w:r>
      <w:r>
        <w:rPr>
          <w:rFonts w:hint="eastAsia" w:ascii="仿宋" w:hAnsi="仿宋" w:eastAsia="仿宋" w:cs="仿宋"/>
          <w:color w:val="auto"/>
          <w:kern w:val="0"/>
          <w:sz w:val="32"/>
          <w:szCs w:val="32"/>
          <w:u w:val="single"/>
          <w:lang w:val="en-US" w:eastAsia="zh-CN"/>
        </w:rPr>
        <w:t>7</w:t>
      </w:r>
      <w:r>
        <w:rPr>
          <w:rFonts w:hint="eastAsia" w:ascii="仿宋" w:hAnsi="仿宋" w:eastAsia="仿宋" w:cs="仿宋"/>
          <w:kern w:val="0"/>
          <w:sz w:val="32"/>
          <w:szCs w:val="32"/>
        </w:rPr>
        <w:t>个项目开展了单位评价</w:t>
      </w:r>
      <w:r>
        <w:rPr>
          <w:rFonts w:hint="eastAsia" w:ascii="仿宋" w:hAnsi="仿宋" w:eastAsia="仿宋" w:cs="仿宋"/>
          <w:kern w:val="0"/>
          <w:sz w:val="32"/>
          <w:szCs w:val="32"/>
          <w:lang w:eastAsia="zh-CN"/>
        </w:rPr>
        <w:t>，</w:t>
      </w:r>
      <w:r>
        <w:rPr>
          <w:rFonts w:hint="eastAsia" w:ascii="仿宋" w:hAnsi="仿宋" w:eastAsia="仿宋" w:cs="仿宋"/>
          <w:sz w:val="32"/>
          <w:szCs w:val="32"/>
        </w:rPr>
        <w:t>从评价情况来看，以上项目绩效指标设定分为产出指标、效益指标和满意度指标三类，产出指标主要包括数量指标、质量指标、时效指标、成本指标；效益指标主要包括经济效益指标、社会效益指标和可持续影响指标；满意度指标主要包括服务对象满意度指标。其中产出指标50分，效益指标30分，满意度指标10分，执行率10分，共计100分。</w:t>
      </w:r>
      <w:r>
        <w:rPr>
          <w:rFonts w:hint="eastAsia" w:ascii="仿宋" w:hAnsi="仿宋" w:eastAsia="仿宋" w:cs="仿宋"/>
          <w:color w:val="auto"/>
          <w:kern w:val="2"/>
          <w:sz w:val="32"/>
          <w:szCs w:val="32"/>
        </w:rPr>
        <w:t>涉及一般公共预算支出</w:t>
      </w:r>
      <w:r>
        <w:rPr>
          <w:rFonts w:hint="eastAsia" w:ascii="仿宋" w:hAnsi="仿宋" w:eastAsia="仿宋" w:cs="仿宋"/>
          <w:color w:val="auto"/>
          <w:kern w:val="2"/>
          <w:sz w:val="32"/>
          <w:szCs w:val="32"/>
          <w:u w:val="single"/>
          <w:lang w:val="en-US" w:eastAsia="zh-CN"/>
        </w:rPr>
        <w:t>1412.37</w:t>
      </w:r>
      <w:r>
        <w:rPr>
          <w:rFonts w:hint="eastAsia" w:ascii="仿宋" w:hAnsi="仿宋" w:eastAsia="仿宋" w:cs="仿宋"/>
          <w:color w:val="auto"/>
          <w:kern w:val="2"/>
          <w:sz w:val="32"/>
          <w:szCs w:val="32"/>
        </w:rPr>
        <w:t>万元，政府性基金支出</w:t>
      </w:r>
      <w:r>
        <w:rPr>
          <w:rFonts w:hint="eastAsia" w:ascii="仿宋" w:hAnsi="仿宋" w:eastAsia="仿宋" w:cs="仿宋"/>
          <w:color w:val="auto"/>
          <w:kern w:val="2"/>
          <w:sz w:val="32"/>
          <w:szCs w:val="32"/>
          <w:u w:val="single"/>
          <w:lang w:val="en-US" w:eastAsia="zh-CN"/>
        </w:rPr>
        <w:t>0</w:t>
      </w:r>
      <w:r>
        <w:rPr>
          <w:rFonts w:hint="eastAsia" w:ascii="仿宋" w:hAnsi="仿宋" w:eastAsia="仿宋" w:cs="仿宋"/>
          <w:color w:val="auto"/>
          <w:kern w:val="2"/>
          <w:sz w:val="32"/>
          <w:szCs w:val="32"/>
        </w:rPr>
        <w:t>万元。</w:t>
      </w:r>
      <w:r>
        <w:rPr>
          <w:rFonts w:hint="eastAsia" w:ascii="仿宋" w:hAnsi="仿宋" w:eastAsia="仿宋" w:cs="仿宋"/>
          <w:kern w:val="0"/>
          <w:sz w:val="32"/>
          <w:szCs w:val="32"/>
        </w:rPr>
        <w:t>从评价情况看，以上项目</w:t>
      </w:r>
      <w:r>
        <w:rPr>
          <w:rFonts w:hint="eastAsia" w:ascii="仿宋" w:hAnsi="仿宋" w:eastAsia="仿宋" w:cs="仿宋"/>
          <w:sz w:val="32"/>
          <w:szCs w:val="32"/>
        </w:rPr>
        <w:t>均达到8</w:t>
      </w:r>
      <w:r>
        <w:rPr>
          <w:rFonts w:hint="eastAsia" w:ascii="仿宋" w:hAnsi="仿宋" w:eastAsia="仿宋" w:cs="仿宋"/>
          <w:sz w:val="32"/>
          <w:szCs w:val="32"/>
          <w:lang w:val="en-US" w:eastAsia="zh-CN"/>
        </w:rPr>
        <w:t>0</w:t>
      </w:r>
      <w:r>
        <w:rPr>
          <w:rFonts w:hint="eastAsia" w:ascii="仿宋" w:hAnsi="仿宋" w:eastAsia="仿宋" w:cs="仿宋"/>
          <w:sz w:val="32"/>
          <w:szCs w:val="32"/>
        </w:rPr>
        <w:t>分以上。</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（二）单位决算中项目绩效自评结果。</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内蒙古自治区巴彦淖尔市卫生健康委员会（本级） 2023年度在决算中反映</w:t>
      </w:r>
      <w:r>
        <w:rPr>
          <w:rFonts w:hint="eastAsia" w:ascii="仿宋" w:hAnsi="仿宋" w:eastAsia="仿宋" w:cs="仿宋"/>
          <w:kern w:val="0"/>
          <w:sz w:val="32"/>
          <w:szCs w:val="32"/>
          <w:u w:val="single"/>
          <w:lang w:val="en-US" w:eastAsia="zh-CN"/>
        </w:rPr>
        <w:t>7</w:t>
      </w:r>
      <w:r>
        <w:rPr>
          <w:rFonts w:hint="eastAsia" w:ascii="仿宋" w:hAnsi="仿宋" w:eastAsia="仿宋" w:cs="仿宋"/>
          <w:kern w:val="0"/>
          <w:sz w:val="32"/>
          <w:szCs w:val="32"/>
        </w:rPr>
        <w:t>个一般公共预算项目，以及</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个政府性基金项目，共</w:t>
      </w:r>
      <w:r>
        <w:rPr>
          <w:rFonts w:hint="eastAsia" w:ascii="仿宋" w:hAnsi="仿宋" w:eastAsia="仿宋" w:cs="仿宋"/>
          <w:kern w:val="0"/>
          <w:sz w:val="32"/>
          <w:szCs w:val="32"/>
          <w:u w:val="single"/>
          <w:lang w:val="en-US" w:eastAsia="zh-CN"/>
        </w:rPr>
        <w:t>7</w:t>
      </w:r>
      <w:r>
        <w:rPr>
          <w:rFonts w:hint="eastAsia" w:ascii="仿宋" w:hAnsi="仿宋" w:eastAsia="仿宋" w:cs="仿宋"/>
          <w:kern w:val="0"/>
          <w:sz w:val="32"/>
          <w:szCs w:val="32"/>
        </w:rPr>
        <w:t>个项目的绩效自评结果。</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1.市保健委经费项目自评综述：根据年初设定的绩效目标，项目自评得分</w:t>
      </w:r>
      <w:r>
        <w:rPr>
          <w:rFonts w:hint="eastAsia" w:ascii="仿宋" w:hAnsi="仿宋" w:eastAsia="仿宋" w:cs="仿宋"/>
          <w:kern w:val="0"/>
          <w:sz w:val="32"/>
          <w:szCs w:val="32"/>
          <w:lang w:val="en-US" w:eastAsia="zh-CN"/>
        </w:rPr>
        <w:t>97.59</w:t>
      </w:r>
      <w:r>
        <w:rPr>
          <w:rFonts w:hint="eastAsia" w:ascii="仿宋" w:hAnsi="仿宋" w:eastAsia="仿宋" w:cs="仿宋"/>
          <w:kern w:val="0"/>
          <w:sz w:val="32"/>
          <w:szCs w:val="32"/>
        </w:rPr>
        <w:t>分。全年预算数为</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万元，执行数为</w:t>
      </w:r>
      <w:r>
        <w:rPr>
          <w:rFonts w:hint="eastAsia" w:ascii="仿宋" w:hAnsi="仿宋" w:eastAsia="仿宋" w:cs="仿宋"/>
          <w:kern w:val="0"/>
          <w:sz w:val="32"/>
          <w:szCs w:val="32"/>
          <w:lang w:val="en-US" w:eastAsia="zh-CN"/>
        </w:rPr>
        <w:t>75.86</w:t>
      </w:r>
      <w:r>
        <w:rPr>
          <w:rFonts w:hint="eastAsia" w:ascii="仿宋" w:hAnsi="仿宋" w:eastAsia="仿宋" w:cs="仿宋"/>
          <w:kern w:val="0"/>
          <w:sz w:val="32"/>
          <w:szCs w:val="32"/>
        </w:rPr>
        <w:t>万元，完成预算的</w:t>
      </w:r>
      <w:r>
        <w:rPr>
          <w:rFonts w:hint="eastAsia" w:ascii="仿宋" w:hAnsi="仿宋" w:eastAsia="仿宋" w:cs="仿宋"/>
          <w:kern w:val="0"/>
          <w:sz w:val="32"/>
          <w:szCs w:val="32"/>
          <w:lang w:val="en-US" w:eastAsia="zh-CN"/>
        </w:rPr>
        <w:t>75.86</w:t>
      </w:r>
      <w:r>
        <w:rPr>
          <w:rFonts w:hint="eastAsia" w:ascii="仿宋" w:hAnsi="仿宋" w:eastAsia="仿宋" w:cs="仿宋"/>
          <w:kern w:val="0"/>
          <w:sz w:val="32"/>
          <w:szCs w:val="32"/>
        </w:rPr>
        <w:t>%。项目绩效目标完成情况：2</w:t>
      </w:r>
      <w:r>
        <w:rPr>
          <w:rFonts w:hint="eastAsia" w:ascii="仿宋" w:hAnsi="仿宋" w:eastAsia="仿宋" w:cs="仿宋"/>
          <w:kern w:val="0"/>
          <w:sz w:val="32"/>
          <w:szCs w:val="32"/>
          <w:lang w:val="en-US" w:eastAsia="zh-CN"/>
        </w:rPr>
        <w:t>68</w:t>
      </w:r>
      <w:r>
        <w:rPr>
          <w:rFonts w:hint="eastAsia" w:ascii="仿宋" w:hAnsi="仿宋" w:eastAsia="仿宋" w:cs="仿宋"/>
          <w:kern w:val="0"/>
          <w:sz w:val="32"/>
          <w:szCs w:val="32"/>
        </w:rPr>
        <w:t>名保健干部完成健康体检，联系厅级保健干部市外就诊，为厅级保健干部配备保健药品，圆满完成重大活动、重要会议、重要来宾医疗保障工作。</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发现的主要问题及原因：市外复查复诊减少。下一步改进措施：加大宣传力度，提高领导干部疾病预防意识。</w:t>
      </w:r>
    </w:p>
    <w:p>
      <w:pPr>
        <w:widowControl/>
        <w:spacing w:before="240" w:after="24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2.卫生健康事业费项目自评综述：根据年初设定的绩效目标，项目自评得分</w:t>
      </w:r>
      <w:r>
        <w:rPr>
          <w:rFonts w:hint="eastAsia" w:ascii="仿宋" w:hAnsi="仿宋" w:eastAsia="仿宋" w:cs="仿宋"/>
          <w:kern w:val="0"/>
          <w:sz w:val="32"/>
          <w:szCs w:val="32"/>
          <w:lang w:val="en-US" w:eastAsia="zh-CN"/>
        </w:rPr>
        <w:t>99.7</w:t>
      </w:r>
      <w:r>
        <w:rPr>
          <w:rFonts w:hint="eastAsia" w:ascii="仿宋" w:hAnsi="仿宋" w:eastAsia="仿宋" w:cs="仿宋"/>
          <w:kern w:val="0"/>
          <w:sz w:val="32"/>
          <w:szCs w:val="32"/>
        </w:rPr>
        <w:t>分。全年预算数为</w:t>
      </w:r>
      <w:r>
        <w:rPr>
          <w:rFonts w:hint="eastAsia" w:ascii="仿宋" w:hAnsi="仿宋" w:eastAsia="仿宋" w:cs="仿宋"/>
          <w:kern w:val="0"/>
          <w:sz w:val="32"/>
          <w:szCs w:val="32"/>
          <w:lang w:val="en-US" w:eastAsia="zh-CN"/>
        </w:rPr>
        <w:t>70</w:t>
      </w:r>
      <w:r>
        <w:rPr>
          <w:rFonts w:hint="eastAsia" w:ascii="仿宋" w:hAnsi="仿宋" w:eastAsia="仿宋" w:cs="仿宋"/>
          <w:kern w:val="0"/>
          <w:sz w:val="32"/>
          <w:szCs w:val="32"/>
        </w:rPr>
        <w:t>万元，执行数为</w:t>
      </w:r>
      <w:r>
        <w:rPr>
          <w:rFonts w:hint="eastAsia" w:ascii="仿宋" w:hAnsi="仿宋" w:eastAsia="仿宋" w:cs="仿宋"/>
          <w:kern w:val="0"/>
          <w:sz w:val="32"/>
          <w:szCs w:val="32"/>
          <w:lang w:val="en-US" w:eastAsia="zh-CN"/>
        </w:rPr>
        <w:t>67.87</w:t>
      </w:r>
      <w:r>
        <w:rPr>
          <w:rFonts w:hint="eastAsia" w:ascii="仿宋" w:hAnsi="仿宋" w:eastAsia="仿宋" w:cs="仿宋"/>
          <w:kern w:val="0"/>
          <w:sz w:val="32"/>
          <w:szCs w:val="32"/>
        </w:rPr>
        <w:t>万元，完成预算的</w:t>
      </w:r>
      <w:r>
        <w:rPr>
          <w:rFonts w:hint="eastAsia" w:ascii="仿宋" w:hAnsi="仿宋" w:eastAsia="仿宋" w:cs="仿宋"/>
          <w:kern w:val="0"/>
          <w:sz w:val="32"/>
          <w:szCs w:val="32"/>
          <w:lang w:val="en-US" w:eastAsia="zh-CN"/>
        </w:rPr>
        <w:t>96.96</w:t>
      </w:r>
      <w:r>
        <w:rPr>
          <w:rFonts w:hint="eastAsia" w:ascii="仿宋" w:hAnsi="仿宋" w:eastAsia="仿宋" w:cs="仿宋"/>
          <w:kern w:val="0"/>
          <w:sz w:val="32"/>
          <w:szCs w:val="32"/>
        </w:rPr>
        <w:t>%。项目绩效目标完成情况：开展生育全程医疗保健服务，全面落实计划生育奖励、特别扶助等政策实施。卫生计生政策宣传签约主流媒体数</w:t>
      </w:r>
      <w:r>
        <w:rPr>
          <w:rFonts w:hint="eastAsia" w:ascii="仿宋" w:hAnsi="仿宋" w:eastAsia="仿宋" w:cs="仿宋"/>
          <w:kern w:val="0"/>
          <w:sz w:val="32"/>
          <w:szCs w:val="32"/>
          <w:lang w:val="en-US" w:eastAsia="zh-CN"/>
        </w:rPr>
        <w:t>2个</w:t>
      </w:r>
      <w:r>
        <w:rPr>
          <w:rFonts w:hint="eastAsia" w:ascii="仿宋" w:hAnsi="仿宋" w:eastAsia="仿宋" w:cs="仿宋"/>
          <w:kern w:val="0"/>
          <w:sz w:val="32"/>
          <w:szCs w:val="32"/>
        </w:rPr>
        <w:t>，计划生育特别扶助家庭护理险享受人数</w:t>
      </w:r>
      <w:r>
        <w:rPr>
          <w:rFonts w:hint="eastAsia" w:ascii="仿宋" w:hAnsi="仿宋" w:eastAsia="仿宋" w:cs="仿宋"/>
          <w:kern w:val="0"/>
          <w:sz w:val="32"/>
          <w:szCs w:val="32"/>
          <w:lang w:val="en-US" w:eastAsia="zh-CN"/>
        </w:rPr>
        <w:t>847人</w:t>
      </w:r>
      <w:r>
        <w:rPr>
          <w:rFonts w:hint="eastAsia" w:ascii="仿宋" w:hAnsi="仿宋" w:eastAsia="仿宋" w:cs="仿宋"/>
          <w:kern w:val="0"/>
          <w:sz w:val="32"/>
          <w:szCs w:val="32"/>
        </w:rPr>
        <w:t>，计划生育特殊家庭护理险覆盖率100%，服务人群满意度满意度9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发现的主要问题及原因：计划生育及卫生健康政策宣传仍需要加强。下一步改进措施：加大计划生育及卫生健康政策宣传力度。</w:t>
      </w:r>
    </w:p>
    <w:p>
      <w:pPr>
        <w:widowControl/>
        <w:spacing w:before="240" w:after="24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卫生专业技术考试经费项目自评综述：根据年初设定的绩效目标，项目自评得分</w:t>
      </w:r>
      <w:r>
        <w:rPr>
          <w:rFonts w:hint="eastAsia" w:ascii="仿宋" w:hAnsi="仿宋" w:eastAsia="仿宋" w:cs="仿宋"/>
          <w:kern w:val="0"/>
          <w:sz w:val="32"/>
          <w:szCs w:val="32"/>
          <w:lang w:val="en-US" w:eastAsia="zh-CN"/>
        </w:rPr>
        <w:t>99.99</w:t>
      </w:r>
      <w:r>
        <w:rPr>
          <w:rFonts w:hint="eastAsia" w:ascii="仿宋" w:hAnsi="仿宋" w:eastAsia="仿宋" w:cs="仿宋"/>
          <w:kern w:val="0"/>
          <w:sz w:val="32"/>
          <w:szCs w:val="32"/>
        </w:rPr>
        <w:t>分。全年预算数为5</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万元，执行数为</w:t>
      </w:r>
      <w:r>
        <w:rPr>
          <w:rFonts w:hint="eastAsia" w:ascii="仿宋" w:hAnsi="仿宋" w:eastAsia="仿宋" w:cs="仿宋"/>
          <w:kern w:val="0"/>
          <w:sz w:val="32"/>
          <w:szCs w:val="32"/>
          <w:lang w:val="en-US" w:eastAsia="zh-CN"/>
        </w:rPr>
        <w:t>49.96</w:t>
      </w:r>
      <w:r>
        <w:rPr>
          <w:rFonts w:hint="eastAsia" w:ascii="仿宋" w:hAnsi="仿宋" w:eastAsia="仿宋" w:cs="仿宋"/>
          <w:kern w:val="0"/>
          <w:sz w:val="32"/>
          <w:szCs w:val="32"/>
        </w:rPr>
        <w:t>万元，完成预算的</w:t>
      </w:r>
      <w:r>
        <w:rPr>
          <w:rFonts w:hint="eastAsia" w:ascii="仿宋" w:hAnsi="仿宋" w:eastAsia="仿宋" w:cs="仿宋"/>
          <w:kern w:val="0"/>
          <w:sz w:val="32"/>
          <w:szCs w:val="32"/>
          <w:lang w:val="en-US" w:eastAsia="zh-CN"/>
        </w:rPr>
        <w:t>99.92</w:t>
      </w:r>
      <w:r>
        <w:rPr>
          <w:rFonts w:hint="eastAsia" w:ascii="仿宋" w:hAnsi="仿宋" w:eastAsia="仿宋" w:cs="仿宋"/>
          <w:kern w:val="0"/>
          <w:sz w:val="32"/>
          <w:szCs w:val="32"/>
        </w:rPr>
        <w:t>%。项目绩效目标完成情况：顺利组织完成202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年医师资格考试、卫生专业技术考试工作任务。考试人员满意度9</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w:t>
      </w:r>
    </w:p>
    <w:p>
      <w:pPr>
        <w:widowControl/>
        <w:spacing w:before="240" w:after="24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发现的主要问题及原因：项目资金管理有待继续完善改进。下一步改进措施：加强对项目资金的管理及使用。</w:t>
      </w:r>
    </w:p>
    <w:p>
      <w:pPr>
        <w:widowControl/>
        <w:spacing w:before="240" w:after="24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信息系统建设维护项目自评综述：根据年初设定的绩效目标，项目自评得分100分。全年预算数为5</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万元，执行数为5</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万元，完成预算的100%。项目绩效目标完成情况：成立了本地化服务人员团队，提供长期系统运维与技术培训，保障了全市人口健康信息平台21个应用系统正常运行。群众满意度9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w:t>
      </w:r>
    </w:p>
    <w:p>
      <w:pPr>
        <w:widowControl/>
        <w:spacing w:before="240" w:after="24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发现的主要问题及原因：项目资金管理有待继续完善改进。下一步改进措施：加强对项目资金的管理及使用。</w:t>
      </w:r>
    </w:p>
    <w:p>
      <w:pPr>
        <w:widowControl/>
        <w:spacing w:before="240" w:after="24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5.医疗救助（中央提前下达本级留用）</w:t>
      </w:r>
      <w:r>
        <w:rPr>
          <w:rFonts w:hint="eastAsia" w:ascii="仿宋" w:hAnsi="仿宋" w:eastAsia="仿宋" w:cs="仿宋"/>
          <w:kern w:val="0"/>
          <w:sz w:val="32"/>
          <w:szCs w:val="32"/>
        </w:rPr>
        <w:t>项目自评综述：根据年初设定的绩效目标，项目自评得分100分。全年预算数为</w:t>
      </w:r>
      <w:r>
        <w:rPr>
          <w:rFonts w:hint="eastAsia" w:ascii="仿宋" w:hAnsi="仿宋" w:eastAsia="仿宋" w:cs="仿宋"/>
          <w:kern w:val="0"/>
          <w:sz w:val="32"/>
          <w:szCs w:val="32"/>
          <w:lang w:val="en-US" w:eastAsia="zh-CN"/>
        </w:rPr>
        <w:t>30.56</w:t>
      </w:r>
      <w:r>
        <w:rPr>
          <w:rFonts w:hint="eastAsia" w:ascii="仿宋" w:hAnsi="仿宋" w:eastAsia="仿宋" w:cs="仿宋"/>
          <w:kern w:val="0"/>
          <w:sz w:val="32"/>
          <w:szCs w:val="32"/>
        </w:rPr>
        <w:t>万元，执行数为</w:t>
      </w:r>
      <w:r>
        <w:rPr>
          <w:rFonts w:hint="eastAsia" w:ascii="仿宋" w:hAnsi="仿宋" w:eastAsia="仿宋" w:cs="仿宋"/>
          <w:kern w:val="0"/>
          <w:sz w:val="32"/>
          <w:szCs w:val="32"/>
          <w:lang w:val="en-US" w:eastAsia="zh-CN"/>
        </w:rPr>
        <w:t>30.56</w:t>
      </w:r>
      <w:r>
        <w:rPr>
          <w:rFonts w:hint="eastAsia" w:ascii="仿宋" w:hAnsi="仿宋" w:eastAsia="仿宋" w:cs="仿宋"/>
          <w:kern w:val="0"/>
          <w:sz w:val="32"/>
          <w:szCs w:val="32"/>
        </w:rPr>
        <w:t>万元，完成预算的100%。项目绩效目标完成情况：对身份不明就医产生医疗费用的急危重伤病患者、身份明确但无力支付医疗费用的急危重伤病患者进行医疗救助。</w:t>
      </w:r>
    </w:p>
    <w:p>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发现的主要问题及原因：项目资金管理有待继续完善改进。下一步改进措施：加强对项目资金的管理及使用。</w:t>
      </w:r>
    </w:p>
    <w:tbl>
      <w:tblPr>
        <w:tblStyle w:val="24"/>
        <w:tblW w:w="9820" w:type="dxa"/>
        <w:tblInd w:w="0" w:type="dxa"/>
        <w:shd w:val="clear" w:color="auto" w:fill="auto"/>
        <w:tblLayout w:type="fixed"/>
        <w:tblCellMar>
          <w:top w:w="0" w:type="dxa"/>
          <w:left w:w="0" w:type="dxa"/>
          <w:bottom w:w="0" w:type="dxa"/>
          <w:right w:w="0" w:type="dxa"/>
        </w:tblCellMar>
      </w:tblPr>
      <w:tblGrid>
        <w:gridCol w:w="817"/>
        <w:gridCol w:w="818"/>
        <w:gridCol w:w="818"/>
        <w:gridCol w:w="819"/>
        <w:gridCol w:w="818"/>
        <w:gridCol w:w="819"/>
        <w:gridCol w:w="818"/>
        <w:gridCol w:w="819"/>
        <w:gridCol w:w="818"/>
        <w:gridCol w:w="819"/>
        <w:gridCol w:w="818"/>
        <w:gridCol w:w="819"/>
      </w:tblGrid>
      <w:tr>
        <w:tblPrEx>
          <w:tblLayout w:type="fixed"/>
          <w:tblCellMar>
            <w:top w:w="0" w:type="dxa"/>
            <w:left w:w="0" w:type="dxa"/>
            <w:bottom w:w="0" w:type="dxa"/>
            <w:right w:w="0" w:type="dxa"/>
          </w:tblCellMar>
        </w:tblPrEx>
        <w:trPr>
          <w:trHeight w:val="1277" w:hRule="atLeast"/>
        </w:trPr>
        <w:tc>
          <w:tcPr>
            <w:tcW w:w="982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项目支出绩效自评表</w:t>
            </w: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(2023年度）</w:t>
            </w:r>
          </w:p>
        </w:tc>
      </w:tr>
      <w:tr>
        <w:tblPrEx>
          <w:shd w:val="clear" w:color="auto" w:fill="auto"/>
          <w:tblLayout w:type="fixed"/>
          <w:tblCellMar>
            <w:top w:w="0" w:type="dxa"/>
            <w:left w:w="0" w:type="dxa"/>
            <w:bottom w:w="0" w:type="dxa"/>
            <w:right w:w="0" w:type="dxa"/>
          </w:tblCellMar>
        </w:tblPrEx>
        <w:trPr>
          <w:trHeight w:val="406"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18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市保健委经费</w:t>
            </w:r>
          </w:p>
        </w:tc>
      </w:tr>
      <w:tr>
        <w:tblPrEx>
          <w:tblLayout w:type="fixed"/>
          <w:tblCellMar>
            <w:top w:w="0" w:type="dxa"/>
            <w:left w:w="0" w:type="dxa"/>
            <w:bottom w:w="0" w:type="dxa"/>
            <w:right w:w="0" w:type="dxa"/>
          </w:tblCellMar>
        </w:tblPrEx>
        <w:trPr>
          <w:trHeight w:val="406"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巴彦淖尔市卫生健康委员会（部门）</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巴彦淖尔市卫生健康委员会</w:t>
            </w:r>
          </w:p>
        </w:tc>
      </w:tr>
      <w:tr>
        <w:tblPrEx>
          <w:tblLayout w:type="fixed"/>
          <w:tblCellMar>
            <w:top w:w="0" w:type="dxa"/>
            <w:left w:w="0" w:type="dxa"/>
            <w:bottom w:w="0" w:type="dxa"/>
            <w:right w:w="0" w:type="dxa"/>
          </w:tblCellMar>
        </w:tblPrEx>
        <w:trPr>
          <w:trHeight w:val="406"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Layout w:type="fixed"/>
          <w:tblCellMar>
            <w:top w:w="0" w:type="dxa"/>
            <w:left w:w="0" w:type="dxa"/>
            <w:bottom w:w="0" w:type="dxa"/>
            <w:right w:w="0" w:type="dxa"/>
          </w:tblCellMar>
        </w:tblPrEx>
        <w:trPr>
          <w:trHeight w:val="651"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75.86</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75.86</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7.59</w:t>
            </w:r>
          </w:p>
        </w:tc>
      </w:tr>
      <w:tr>
        <w:tblPrEx>
          <w:tblLayout w:type="fixed"/>
          <w:tblCellMar>
            <w:top w:w="0" w:type="dxa"/>
            <w:left w:w="0" w:type="dxa"/>
            <w:bottom w:w="0" w:type="dxa"/>
            <w:right w:w="0" w:type="dxa"/>
          </w:tblCellMar>
        </w:tblPrEx>
        <w:trPr>
          <w:trHeight w:val="651"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75.86</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651"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406"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406"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0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Layout w:type="fixed"/>
          <w:tblCellMar>
            <w:top w:w="0" w:type="dxa"/>
            <w:left w:w="0" w:type="dxa"/>
            <w:bottom w:w="0" w:type="dxa"/>
            <w:right w:w="0" w:type="dxa"/>
          </w:tblCellMar>
        </w:tblPrEx>
        <w:trPr>
          <w:trHeight w:val="1904"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目标1：按照市委组织部审定名单，安排市直单位、驻市条管单位干部保健体检；</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目标2：厅级保健干部体检筛查的重点健康危险因素市外复查；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目标3：厅级保健干部保健药品和疫苗；</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目标4：完成重大活动、重要会议医疗保健工作。</w:t>
            </w:r>
          </w:p>
        </w:tc>
        <w:tc>
          <w:tcPr>
            <w:tcW w:w="40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目标1：按照市委组织部审定名单，安排市直单位、驻市条管单位干部保健体检；</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目标2：厅级保健干部体检筛查的重点健康危险因素市外复查；</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目标3：厅级保健干部保健药品和疫苗；</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目标4：完成重大活动、重要会议医疗保健工作。</w:t>
            </w:r>
          </w:p>
        </w:tc>
      </w:tr>
      <w:tr>
        <w:tblPrEx>
          <w:tblLayout w:type="fixed"/>
          <w:tblCellMar>
            <w:top w:w="0" w:type="dxa"/>
            <w:left w:w="0" w:type="dxa"/>
            <w:bottom w:w="0" w:type="dxa"/>
            <w:right w:w="0" w:type="dxa"/>
          </w:tblCellMar>
        </w:tblPrEx>
        <w:trPr>
          <w:trHeight w:val="96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shd w:val="clear" w:color="auto" w:fill="auto"/>
          <w:tblLayout w:type="fixed"/>
          <w:tblCellMar>
            <w:top w:w="0" w:type="dxa"/>
            <w:left w:w="0" w:type="dxa"/>
            <w:bottom w:w="0" w:type="dxa"/>
            <w:right w:w="0" w:type="dxa"/>
          </w:tblCellMar>
        </w:tblPrEx>
        <w:trPr>
          <w:trHeight w:val="868" w:hRule="atLeast"/>
        </w:trPr>
        <w:tc>
          <w:tcPr>
            <w:tcW w:w="81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81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1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保健体检人数</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68"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重大活动医疗保健任务</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64"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陪同对接保健干部市外复查人次</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8"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配置保健药箱</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份</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8"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干部保健体检率</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77.7</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68"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干部市外复查接待率</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64"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重大活动医疗保健任务完成率</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8"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整体工作完成时间</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2023年12月前</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2023年11月</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8"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资金下达及时率</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68"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人均干部保健体检成本</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2646.82</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元/次</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8"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保健药箱配置成本</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289.36</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元/份</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964"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人均市外复查陪同出差成本</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1230</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元/日</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64"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重大活动医疗保健水平有所提高</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8"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提升体检人数和体检率</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8"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1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主管部门满意度</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8" w:hRule="atLeast"/>
        </w:trPr>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保健对象满意度</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78" w:hRule="atLeast"/>
        </w:trPr>
        <w:tc>
          <w:tcPr>
            <w:tcW w:w="736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97.59</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before="240" w:after="240"/>
        <w:rPr>
          <w:rFonts w:ascii="Times New Roman" w:hAnsi="Times New Roman" w:eastAsia="Times New Roman" w:cs="Times New Roman"/>
          <w:kern w:val="0"/>
          <w:sz w:val="24"/>
        </w:rPr>
      </w:pPr>
    </w:p>
    <w:tbl>
      <w:tblPr>
        <w:tblStyle w:val="24"/>
        <w:tblW w:w="10020" w:type="dxa"/>
        <w:tblInd w:w="0" w:type="dxa"/>
        <w:shd w:val="clear" w:color="auto" w:fill="auto"/>
        <w:tblLayout w:type="fixed"/>
        <w:tblCellMar>
          <w:top w:w="0" w:type="dxa"/>
          <w:left w:w="0" w:type="dxa"/>
          <w:bottom w:w="0" w:type="dxa"/>
          <w:right w:w="0" w:type="dxa"/>
        </w:tblCellMar>
      </w:tblPr>
      <w:tblGrid>
        <w:gridCol w:w="835"/>
        <w:gridCol w:w="835"/>
        <w:gridCol w:w="835"/>
        <w:gridCol w:w="835"/>
        <w:gridCol w:w="835"/>
        <w:gridCol w:w="835"/>
        <w:gridCol w:w="835"/>
        <w:gridCol w:w="835"/>
        <w:gridCol w:w="835"/>
        <w:gridCol w:w="835"/>
        <w:gridCol w:w="835"/>
        <w:gridCol w:w="835"/>
      </w:tblGrid>
      <w:tr>
        <w:tblPrEx>
          <w:tblLayout w:type="fixed"/>
          <w:tblCellMar>
            <w:top w:w="0" w:type="dxa"/>
            <w:left w:w="0" w:type="dxa"/>
            <w:bottom w:w="0" w:type="dxa"/>
            <w:right w:w="0" w:type="dxa"/>
          </w:tblCellMar>
        </w:tblPrEx>
        <w:trPr>
          <w:trHeight w:val="1189" w:hRule="atLeast"/>
        </w:trPr>
        <w:tc>
          <w:tcPr>
            <w:tcW w:w="1002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项目支出绩效自评表</w:t>
            </w: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(2023年度）</w:t>
            </w:r>
          </w:p>
        </w:tc>
      </w:tr>
      <w:tr>
        <w:tblPrEx>
          <w:shd w:val="clear" w:color="auto" w:fill="auto"/>
          <w:tblLayout w:type="fixed"/>
          <w:tblCellMar>
            <w:top w:w="0" w:type="dxa"/>
            <w:left w:w="0" w:type="dxa"/>
            <w:bottom w:w="0" w:type="dxa"/>
            <w:right w:w="0" w:type="dxa"/>
          </w:tblCellMar>
        </w:tblPrEx>
        <w:trPr>
          <w:trHeight w:val="379" w:hRule="atLeast"/>
        </w:trPr>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35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卫生健康事业费</w:t>
            </w:r>
          </w:p>
        </w:tc>
      </w:tr>
      <w:tr>
        <w:tblPrEx>
          <w:tblLayout w:type="fixed"/>
          <w:tblCellMar>
            <w:top w:w="0" w:type="dxa"/>
            <w:left w:w="0" w:type="dxa"/>
            <w:bottom w:w="0" w:type="dxa"/>
            <w:right w:w="0" w:type="dxa"/>
          </w:tblCellMar>
        </w:tblPrEx>
        <w:trPr>
          <w:trHeight w:val="379" w:hRule="atLeast"/>
        </w:trPr>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3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巴彦淖尔市卫生健康委员会（部门）</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3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巴彦淖尔市卫生健康委员会</w:t>
            </w:r>
          </w:p>
        </w:tc>
      </w:tr>
      <w:tr>
        <w:tblPrEx>
          <w:tblLayout w:type="fixed"/>
          <w:tblCellMar>
            <w:top w:w="0" w:type="dxa"/>
            <w:left w:w="0" w:type="dxa"/>
            <w:bottom w:w="0" w:type="dxa"/>
            <w:right w:w="0" w:type="dxa"/>
          </w:tblCellMar>
        </w:tblPrEx>
        <w:trPr>
          <w:trHeight w:val="379" w:hRule="atLeast"/>
        </w:trPr>
        <w:tc>
          <w:tcPr>
            <w:tcW w:w="1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Layout w:type="fixed"/>
          <w:tblCellMar>
            <w:top w:w="0" w:type="dxa"/>
            <w:left w:w="0" w:type="dxa"/>
            <w:bottom w:w="0" w:type="dxa"/>
            <w:right w:w="0" w:type="dxa"/>
          </w:tblCellMar>
        </w:tblPrEx>
        <w:trPr>
          <w:trHeight w:val="606" w:hRule="atLeast"/>
        </w:trPr>
        <w:tc>
          <w:tcPr>
            <w:tcW w:w="1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67.87</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96.96</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r>
      <w:tr>
        <w:tblPrEx>
          <w:shd w:val="clear" w:color="auto" w:fill="auto"/>
          <w:tblLayout w:type="fixed"/>
          <w:tblCellMar>
            <w:top w:w="0" w:type="dxa"/>
            <w:left w:w="0" w:type="dxa"/>
            <w:bottom w:w="0" w:type="dxa"/>
            <w:right w:w="0" w:type="dxa"/>
          </w:tblCellMar>
        </w:tblPrEx>
        <w:trPr>
          <w:trHeight w:val="606" w:hRule="atLeast"/>
        </w:trPr>
        <w:tc>
          <w:tcPr>
            <w:tcW w:w="1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67.87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96.96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606" w:hRule="atLeast"/>
        </w:trPr>
        <w:tc>
          <w:tcPr>
            <w:tcW w:w="1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379" w:hRule="atLeast"/>
        </w:trPr>
        <w:tc>
          <w:tcPr>
            <w:tcW w:w="1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379" w:hRule="atLeast"/>
        </w:trPr>
        <w:tc>
          <w:tcPr>
            <w:tcW w:w="1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1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1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Layout w:type="fixed"/>
          <w:tblCellMar>
            <w:top w:w="0" w:type="dxa"/>
            <w:left w:w="0" w:type="dxa"/>
            <w:bottom w:w="0" w:type="dxa"/>
            <w:right w:w="0" w:type="dxa"/>
          </w:tblCellMar>
        </w:tblPrEx>
        <w:trPr>
          <w:trHeight w:val="1189" w:hRule="atLeast"/>
        </w:trPr>
        <w:tc>
          <w:tcPr>
            <w:tcW w:w="1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目标1：推进卫生健康工作，提升人民群众健康水平；</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目标2：全面落实计划生育奖励、特别扶助等到政策实施；</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目标3：加强流动人口服务管理,全面落实施基本公共卫生均等化服务。</w:t>
            </w:r>
          </w:p>
        </w:tc>
        <w:tc>
          <w:tcPr>
            <w:tcW w:w="41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目标1：推进卫生健康工作，提升人民群众健康水平；</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目标2：全面落实计划生育奖励、特别扶助等到政策实施；</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目标3：加强流动人口服务管理,全面落实施基本公共卫生均等化服务。</w:t>
            </w:r>
          </w:p>
        </w:tc>
      </w:tr>
      <w:tr>
        <w:tblPrEx>
          <w:tblLayout w:type="fixed"/>
          <w:tblCellMar>
            <w:top w:w="0" w:type="dxa"/>
            <w:left w:w="0" w:type="dxa"/>
            <w:bottom w:w="0" w:type="dxa"/>
            <w:right w:w="0" w:type="dxa"/>
          </w:tblCellMar>
        </w:tblPrEx>
        <w:trPr>
          <w:trHeight w:val="898"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Layout w:type="fixed"/>
          <w:tblCellMar>
            <w:top w:w="0" w:type="dxa"/>
            <w:left w:w="0" w:type="dxa"/>
            <w:bottom w:w="0" w:type="dxa"/>
            <w:right w:w="0" w:type="dxa"/>
          </w:tblCellMar>
        </w:tblPrEx>
        <w:trPr>
          <w:trHeight w:val="898" w:hRule="atLeast"/>
        </w:trPr>
        <w:tc>
          <w:tcPr>
            <w:tcW w:w="8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8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卫生计生政策宣传签约主流媒体数</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189"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计划生育特别扶助家庭护理险享受人数</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847</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847</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9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卫生计生工作督查指导次数</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9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卫生计生工作培训学习次数</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0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医养结合示范机构数量</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9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婴幼儿照护服务指导中心数量</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0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安宁疗护试点数量</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1480"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育龄群众对享有计划生育权利和健康基础知识知晓率</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9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计划生育特殊家庭护理险覆盖率</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9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卫生计生工作督查指导覆盖率</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0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项目整体工作完成时间</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2024年12月前</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2023.12</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0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0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项目总成本</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67.87</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0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经费控制</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在预算内</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在预算内</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1189"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育龄群众计划生育权利和健康知识知晓程度</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有所提高</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有所提高</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189"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应享有计划生育政策补助家庭生活水平</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有所提高</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有所提高</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0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老龄健康工作水平</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有所提高</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有所提高</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0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婴幼儿照护服务</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有所加强</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有所提高</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0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母婴健康安全</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有所保障</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有所提高</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0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卫生健康服务水平</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有所提高</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有所提高</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0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项目可持续影响期限</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0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主管部门满意度</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08" w:hRule="atLeast"/>
        </w:trPr>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服务人群满意度</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17" w:hRule="atLeast"/>
        </w:trPr>
        <w:tc>
          <w:tcPr>
            <w:tcW w:w="75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99.7</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before="240" w:after="240"/>
        <w:rPr>
          <w:rFonts w:ascii="fang_song_gb2312" w:hAnsi="fang_song_gb2312" w:eastAsia="fang_song_gb2312" w:cs="fang_song_gb2312"/>
          <w:color w:val="0E00FE"/>
          <w:kern w:val="0"/>
          <w:sz w:val="27"/>
          <w:szCs w:val="27"/>
        </w:rPr>
      </w:pPr>
    </w:p>
    <w:tbl>
      <w:tblPr>
        <w:tblStyle w:val="24"/>
        <w:tblW w:w="10100" w:type="dxa"/>
        <w:tblInd w:w="0" w:type="dxa"/>
        <w:shd w:val="clear" w:color="auto" w:fill="auto"/>
        <w:tblLayout w:type="fixed"/>
        <w:tblCellMar>
          <w:top w:w="0" w:type="dxa"/>
          <w:left w:w="0" w:type="dxa"/>
          <w:bottom w:w="0" w:type="dxa"/>
          <w:right w:w="0" w:type="dxa"/>
        </w:tblCellMar>
      </w:tblPr>
      <w:tblGrid>
        <w:gridCol w:w="841"/>
        <w:gridCol w:w="840"/>
        <w:gridCol w:w="841"/>
        <w:gridCol w:w="842"/>
        <w:gridCol w:w="842"/>
        <w:gridCol w:w="842"/>
        <w:gridCol w:w="842"/>
        <w:gridCol w:w="842"/>
        <w:gridCol w:w="842"/>
        <w:gridCol w:w="841"/>
        <w:gridCol w:w="842"/>
        <w:gridCol w:w="843"/>
      </w:tblGrid>
      <w:tr>
        <w:tblPrEx>
          <w:tblLayout w:type="fixed"/>
          <w:tblCellMar>
            <w:top w:w="0" w:type="dxa"/>
            <w:left w:w="0" w:type="dxa"/>
            <w:bottom w:w="0" w:type="dxa"/>
            <w:right w:w="0" w:type="dxa"/>
          </w:tblCellMar>
        </w:tblPrEx>
        <w:trPr>
          <w:trHeight w:val="1266" w:hRule="atLeast"/>
        </w:trPr>
        <w:tc>
          <w:tcPr>
            <w:tcW w:w="1010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项目支出绩效自评表</w:t>
            </w: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(2023年度）</w:t>
            </w:r>
          </w:p>
        </w:tc>
      </w:tr>
      <w:tr>
        <w:tblPrEx>
          <w:shd w:val="clear" w:color="auto" w:fill="auto"/>
          <w:tblLayout w:type="fixed"/>
          <w:tblCellMar>
            <w:top w:w="0" w:type="dxa"/>
            <w:left w:w="0" w:type="dxa"/>
            <w:bottom w:w="0" w:type="dxa"/>
            <w:right w:w="0" w:type="dxa"/>
          </w:tblCellMar>
        </w:tblPrEx>
        <w:trPr>
          <w:trHeight w:val="403" w:hRule="atLeast"/>
        </w:trPr>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41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卫生专业技术考试经费</w:t>
            </w:r>
          </w:p>
        </w:tc>
      </w:tr>
      <w:tr>
        <w:tblPrEx>
          <w:shd w:val="clear" w:color="auto" w:fill="auto"/>
          <w:tblLayout w:type="fixed"/>
          <w:tblCellMar>
            <w:top w:w="0" w:type="dxa"/>
            <w:left w:w="0" w:type="dxa"/>
            <w:bottom w:w="0" w:type="dxa"/>
            <w:right w:w="0" w:type="dxa"/>
          </w:tblCellMar>
        </w:tblPrEx>
        <w:trPr>
          <w:trHeight w:val="403" w:hRule="atLeast"/>
        </w:trPr>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3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巴彦淖尔市卫生健康委员会（部门）</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巴彦淖尔市卫生健康委员会</w:t>
            </w:r>
          </w:p>
        </w:tc>
      </w:tr>
      <w:tr>
        <w:tblPrEx>
          <w:shd w:val="clear" w:color="auto" w:fill="auto"/>
          <w:tblLayout w:type="fixed"/>
          <w:tblCellMar>
            <w:top w:w="0" w:type="dxa"/>
            <w:left w:w="0" w:type="dxa"/>
            <w:bottom w:w="0" w:type="dxa"/>
            <w:right w:w="0" w:type="dxa"/>
          </w:tblCellMar>
        </w:tblPrEx>
        <w:trPr>
          <w:trHeight w:val="403" w:hRule="atLeast"/>
        </w:trPr>
        <w:tc>
          <w:tcPr>
            <w:tcW w:w="16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Layout w:type="fixed"/>
          <w:tblCellMar>
            <w:top w:w="0" w:type="dxa"/>
            <w:left w:w="0" w:type="dxa"/>
            <w:bottom w:w="0" w:type="dxa"/>
            <w:right w:w="0" w:type="dxa"/>
          </w:tblCellMar>
        </w:tblPrEx>
        <w:trPr>
          <w:trHeight w:val="646" w:hRule="atLeast"/>
        </w:trPr>
        <w:tc>
          <w:tcPr>
            <w:tcW w:w="1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99.92</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w:t>
            </w:r>
          </w:p>
        </w:tc>
      </w:tr>
      <w:tr>
        <w:tblPrEx>
          <w:shd w:val="clear" w:color="auto" w:fill="auto"/>
          <w:tblLayout w:type="fixed"/>
          <w:tblCellMar>
            <w:top w:w="0" w:type="dxa"/>
            <w:left w:w="0" w:type="dxa"/>
            <w:bottom w:w="0" w:type="dxa"/>
            <w:right w:w="0" w:type="dxa"/>
          </w:tblCellMar>
        </w:tblPrEx>
        <w:trPr>
          <w:trHeight w:val="646" w:hRule="atLeast"/>
        </w:trPr>
        <w:tc>
          <w:tcPr>
            <w:tcW w:w="1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99.92</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646" w:hRule="atLeast"/>
        </w:trPr>
        <w:tc>
          <w:tcPr>
            <w:tcW w:w="1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403" w:hRule="atLeast"/>
        </w:trPr>
        <w:tc>
          <w:tcPr>
            <w:tcW w:w="1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403" w:hRule="atLeast"/>
        </w:trPr>
        <w:tc>
          <w:tcPr>
            <w:tcW w:w="16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2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shd w:val="clear" w:color="auto" w:fill="auto"/>
          <w:tblLayout w:type="fixed"/>
          <w:tblCellMar>
            <w:top w:w="0" w:type="dxa"/>
            <w:left w:w="0" w:type="dxa"/>
            <w:bottom w:w="0" w:type="dxa"/>
            <w:right w:w="0" w:type="dxa"/>
          </w:tblCellMar>
        </w:tblPrEx>
        <w:trPr>
          <w:trHeight w:val="1266" w:hRule="atLeast"/>
        </w:trPr>
        <w:tc>
          <w:tcPr>
            <w:tcW w:w="1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目标1：组织完成2023年执业医师考试工作任务，提高服务工作水平</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目标2：组织完成2023年卫生专业技术资格考试工作任务，提高服务工作水平。</w:t>
            </w:r>
          </w:p>
        </w:tc>
        <w:tc>
          <w:tcPr>
            <w:tcW w:w="4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目标1：组织完成2023年执业医师考试工作任务，提高服务工作水平</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目标2：组织完成2023年卫生专业技术资格考试工作任务，提高服务工作水平。</w:t>
            </w:r>
          </w:p>
        </w:tc>
      </w:tr>
      <w:tr>
        <w:tblPrEx>
          <w:shd w:val="clear" w:color="auto" w:fill="auto"/>
          <w:tblLayout w:type="fixed"/>
          <w:tblCellMar>
            <w:top w:w="0" w:type="dxa"/>
            <w:left w:w="0" w:type="dxa"/>
            <w:bottom w:w="0" w:type="dxa"/>
            <w:right w:w="0" w:type="dxa"/>
          </w:tblCellMar>
        </w:tblPrEx>
        <w:trPr>
          <w:trHeight w:val="956"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8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4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医师资格考试次数</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考试资格现场审查次数</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医师资格考试报考人数</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956"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医师资格考试业务人员培训次数</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956"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医师资格考试业务人员培训人数</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专业技术资格考试次数</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956"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专业技术资格考试现场审查次数</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956"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专业技术资格考试报考人数</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2691</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1266"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专业技术资格考试业务人员培训次数</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1266"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专业技术资格考试业务人员培训人数</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考试组织完成率</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培训参与率</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培训覆盖率</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考试完成时间</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2024年1月前</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2023年12月前</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考试按时完成率</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956"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考试考务人员人均劳务成本</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元/日</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项目总成本</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49.96</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4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考务工作水平</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进一步规范</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进一步规范</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专业技术资格考试工作</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进一步规范</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进一步规范</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项目持续发挥作用期限</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4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主管部门满意度</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1" w:hRule="atLeast"/>
        </w:trPr>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考试人员满意度</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70" w:hRule="atLeast"/>
        </w:trPr>
        <w:tc>
          <w:tcPr>
            <w:tcW w:w="757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99.99</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before="240" w:after="240"/>
        <w:rPr>
          <w:rFonts w:ascii="fang_song_gb2312" w:hAnsi="fang_song_gb2312" w:eastAsia="fang_song_gb2312" w:cs="fang_song_gb2312"/>
          <w:color w:val="0E00FE"/>
          <w:kern w:val="0"/>
          <w:sz w:val="27"/>
          <w:szCs w:val="27"/>
        </w:rPr>
      </w:pPr>
    </w:p>
    <w:p>
      <w:pPr>
        <w:widowControl/>
        <w:spacing w:before="240" w:after="240"/>
        <w:rPr>
          <w:rFonts w:ascii="fang_song_gb2312" w:hAnsi="fang_song_gb2312" w:eastAsia="fang_song_gb2312" w:cs="fang_song_gb2312"/>
          <w:color w:val="0E00FE"/>
          <w:kern w:val="0"/>
          <w:sz w:val="27"/>
          <w:szCs w:val="27"/>
        </w:rPr>
      </w:pPr>
    </w:p>
    <w:tbl>
      <w:tblPr>
        <w:tblStyle w:val="24"/>
        <w:tblW w:w="9900" w:type="dxa"/>
        <w:tblInd w:w="0" w:type="dxa"/>
        <w:shd w:val="clear" w:color="auto" w:fill="auto"/>
        <w:tblLayout w:type="fixed"/>
        <w:tblCellMar>
          <w:top w:w="0" w:type="dxa"/>
          <w:left w:w="0" w:type="dxa"/>
          <w:bottom w:w="0" w:type="dxa"/>
          <w:right w:w="0" w:type="dxa"/>
        </w:tblCellMar>
      </w:tblPr>
      <w:tblGrid>
        <w:gridCol w:w="825"/>
        <w:gridCol w:w="825"/>
        <w:gridCol w:w="825"/>
        <w:gridCol w:w="825"/>
        <w:gridCol w:w="825"/>
        <w:gridCol w:w="825"/>
        <w:gridCol w:w="825"/>
        <w:gridCol w:w="825"/>
        <w:gridCol w:w="825"/>
        <w:gridCol w:w="825"/>
        <w:gridCol w:w="825"/>
        <w:gridCol w:w="825"/>
      </w:tblGrid>
      <w:tr>
        <w:tblPrEx>
          <w:shd w:val="clear" w:color="auto" w:fill="auto"/>
          <w:tblLayout w:type="fixed"/>
          <w:tblCellMar>
            <w:top w:w="0" w:type="dxa"/>
            <w:left w:w="0" w:type="dxa"/>
            <w:bottom w:w="0" w:type="dxa"/>
            <w:right w:w="0" w:type="dxa"/>
          </w:tblCellMar>
        </w:tblPrEx>
        <w:trPr>
          <w:trHeight w:val="960" w:hRule="atLeast"/>
        </w:trPr>
        <w:tc>
          <w:tcPr>
            <w:tcW w:w="990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项目支出绩效自评表</w:t>
            </w: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(2023年度）</w:t>
            </w:r>
          </w:p>
        </w:tc>
      </w:tr>
      <w:tr>
        <w:tblPrEx>
          <w:shd w:val="clear" w:color="auto" w:fill="auto"/>
          <w:tblLayout w:type="fixed"/>
          <w:tblCellMar>
            <w:top w:w="0" w:type="dxa"/>
            <w:left w:w="0" w:type="dxa"/>
            <w:bottom w:w="0" w:type="dxa"/>
            <w:right w:w="0" w:type="dxa"/>
          </w:tblCellMar>
        </w:tblPrEx>
        <w:trPr>
          <w:trHeight w:val="38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25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信息系统建设维护</w:t>
            </w:r>
          </w:p>
        </w:tc>
      </w:tr>
      <w:tr>
        <w:tblPrEx>
          <w:tblLayout w:type="fixed"/>
          <w:tblCellMar>
            <w:top w:w="0" w:type="dxa"/>
            <w:left w:w="0" w:type="dxa"/>
            <w:bottom w:w="0" w:type="dxa"/>
            <w:right w:w="0" w:type="dxa"/>
          </w:tblCellMar>
        </w:tblPrEx>
        <w:trPr>
          <w:trHeight w:val="38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巴彦淖尔市卫生健康委员会（部门）</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巴彦淖尔市卫生健康委员会</w:t>
            </w:r>
          </w:p>
        </w:tc>
      </w:tr>
      <w:tr>
        <w:tblPrEx>
          <w:shd w:val="clear" w:color="auto" w:fill="auto"/>
          <w:tblLayout w:type="fixed"/>
          <w:tblCellMar>
            <w:top w:w="0" w:type="dxa"/>
            <w:left w:w="0" w:type="dxa"/>
            <w:bottom w:w="0" w:type="dxa"/>
            <w:right w:w="0" w:type="dxa"/>
          </w:tblCellMar>
        </w:tblPrEx>
        <w:trPr>
          <w:trHeight w:val="380" w:hRule="atLeast"/>
        </w:trPr>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Layout w:type="fixed"/>
          <w:tblCellMar>
            <w:top w:w="0" w:type="dxa"/>
            <w:left w:w="0" w:type="dxa"/>
            <w:bottom w:w="0" w:type="dxa"/>
            <w:right w:w="0" w:type="dxa"/>
          </w:tblCellMar>
        </w:tblPrEx>
        <w:trPr>
          <w:trHeight w:val="380" w:hRule="atLeast"/>
        </w:trPr>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Layout w:type="fixed"/>
          <w:tblCellMar>
            <w:top w:w="0" w:type="dxa"/>
            <w:left w:w="0" w:type="dxa"/>
            <w:bottom w:w="0" w:type="dxa"/>
            <w:right w:w="0" w:type="dxa"/>
          </w:tblCellMar>
        </w:tblPrEx>
        <w:trPr>
          <w:trHeight w:val="380" w:hRule="atLeast"/>
        </w:trPr>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380" w:hRule="atLeast"/>
        </w:trPr>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380" w:hRule="atLeast"/>
        </w:trPr>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380" w:hRule="atLeast"/>
        </w:trPr>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1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1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Layout w:type="fixed"/>
          <w:tblCellMar>
            <w:top w:w="0" w:type="dxa"/>
            <w:left w:w="0" w:type="dxa"/>
            <w:bottom w:w="0" w:type="dxa"/>
            <w:right w:w="0" w:type="dxa"/>
          </w:tblCellMar>
        </w:tblPrEx>
        <w:trPr>
          <w:trHeight w:val="1120" w:hRule="atLeast"/>
        </w:trPr>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完成卫生健康信息化建设各类应用系统达到自治区及市下达的标准化建设目标任务；保障各类应用系统安全稳定运行。</w:t>
            </w:r>
          </w:p>
        </w:tc>
        <w:tc>
          <w:tcPr>
            <w:tcW w:w="41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完成卫生健康信息化建设各类应用系统达到自治区及市下达的标准化建设目标任务；保障各类应用系统安全稳定运行。</w:t>
            </w:r>
          </w:p>
        </w:tc>
      </w:tr>
      <w:tr>
        <w:tblPrEx>
          <w:tblLayout w:type="fixed"/>
          <w:tblCellMar>
            <w:top w:w="0" w:type="dxa"/>
            <w:left w:w="0" w:type="dxa"/>
            <w:bottom w:w="0" w:type="dxa"/>
            <w:right w:w="0"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shd w:val="clear" w:color="auto" w:fill="auto"/>
          <w:tblLayout w:type="fixed"/>
          <w:tblCellMar>
            <w:top w:w="0" w:type="dxa"/>
            <w:left w:w="0" w:type="dxa"/>
            <w:bottom w:w="0" w:type="dxa"/>
            <w:right w:w="0" w:type="dxa"/>
          </w:tblCellMar>
        </w:tblPrEx>
        <w:trPr>
          <w:trHeight w:val="840" w:hRule="atLeast"/>
        </w:trPr>
        <w:tc>
          <w:tcPr>
            <w:tcW w:w="82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82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全民健康信息平台各类型应用系统数量</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应用系统覆盖旗县数</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运行畅通率及功能达标率</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应用系统覆盖旗县率</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全民健康信息平台各类型应用系统验收及时率</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资金下达及时率</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本地化的运维服务费用</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成本控制</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在预算内</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在预算内</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促进卫生健康各项改革政策执行</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有效执行</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有效执行</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提供居民便捷高效低价卫生健康服务</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效果显著</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效果显著</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及时解决系统运行的各类问题</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效果显著</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效果显著</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8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使用人员满意度</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74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before="240" w:after="240"/>
        <w:rPr>
          <w:rFonts w:ascii="fang_song_gb2312" w:hAnsi="fang_song_gb2312" w:eastAsia="fang_song_gb2312" w:cs="fang_song_gb2312"/>
          <w:color w:val="0E00FE"/>
          <w:kern w:val="0"/>
          <w:sz w:val="27"/>
          <w:szCs w:val="27"/>
        </w:rPr>
      </w:pPr>
    </w:p>
    <w:tbl>
      <w:tblPr>
        <w:tblStyle w:val="24"/>
        <w:tblW w:w="10220" w:type="dxa"/>
        <w:tblInd w:w="0" w:type="dxa"/>
        <w:shd w:val="clear" w:color="auto" w:fill="auto"/>
        <w:tblLayout w:type="fixed"/>
        <w:tblCellMar>
          <w:top w:w="0" w:type="dxa"/>
          <w:left w:w="0" w:type="dxa"/>
          <w:bottom w:w="0" w:type="dxa"/>
          <w:right w:w="0" w:type="dxa"/>
        </w:tblCellMar>
      </w:tblPr>
      <w:tblGrid>
        <w:gridCol w:w="851"/>
        <w:gridCol w:w="850"/>
        <w:gridCol w:w="851"/>
        <w:gridCol w:w="852"/>
        <w:gridCol w:w="852"/>
        <w:gridCol w:w="852"/>
        <w:gridCol w:w="852"/>
        <w:gridCol w:w="852"/>
        <w:gridCol w:w="852"/>
        <w:gridCol w:w="851"/>
        <w:gridCol w:w="852"/>
        <w:gridCol w:w="853"/>
      </w:tblGrid>
      <w:tr>
        <w:tblPrEx>
          <w:tblLayout w:type="fixed"/>
          <w:tblCellMar>
            <w:top w:w="0" w:type="dxa"/>
            <w:left w:w="0" w:type="dxa"/>
            <w:bottom w:w="0" w:type="dxa"/>
            <w:right w:w="0" w:type="dxa"/>
          </w:tblCellMar>
        </w:tblPrEx>
        <w:trPr>
          <w:trHeight w:val="1260" w:hRule="atLeast"/>
        </w:trPr>
        <w:tc>
          <w:tcPr>
            <w:tcW w:w="1022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项目支出绩效自评表</w:t>
            </w: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(2023年度）</w:t>
            </w:r>
          </w:p>
        </w:tc>
      </w:tr>
      <w:tr>
        <w:tblPrEx>
          <w:tblLayout w:type="fixed"/>
          <w:tblCellMar>
            <w:top w:w="0" w:type="dxa"/>
            <w:left w:w="0" w:type="dxa"/>
            <w:bottom w:w="0" w:type="dxa"/>
            <w:right w:w="0" w:type="dxa"/>
          </w:tblCellMar>
        </w:tblPrEx>
        <w:trPr>
          <w:trHeight w:val="401" w:hRule="atLeast"/>
        </w:trPr>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51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疾病应急救助基金</w:t>
            </w:r>
          </w:p>
        </w:tc>
      </w:tr>
      <w:tr>
        <w:tblPrEx>
          <w:tblLayout w:type="fixed"/>
          <w:tblCellMar>
            <w:top w:w="0" w:type="dxa"/>
            <w:left w:w="0" w:type="dxa"/>
            <w:bottom w:w="0" w:type="dxa"/>
            <w:right w:w="0" w:type="dxa"/>
          </w:tblCellMar>
        </w:tblPrEx>
        <w:trPr>
          <w:trHeight w:val="401" w:hRule="atLeast"/>
        </w:trPr>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巴彦淖尔市卫生健康委员会（部门）</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巴彦淖尔市卫生健康委员会</w:t>
            </w:r>
          </w:p>
        </w:tc>
      </w:tr>
      <w:tr>
        <w:tblPrEx>
          <w:shd w:val="clear" w:color="auto" w:fill="auto"/>
          <w:tblLayout w:type="fixed"/>
          <w:tblCellMar>
            <w:top w:w="0" w:type="dxa"/>
            <w:left w:w="0" w:type="dxa"/>
            <w:bottom w:w="0" w:type="dxa"/>
            <w:right w:w="0" w:type="dxa"/>
          </w:tblCellMar>
        </w:tblPrEx>
        <w:trPr>
          <w:trHeight w:val="401" w:hRule="atLeast"/>
        </w:trPr>
        <w:tc>
          <w:tcPr>
            <w:tcW w:w="17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Layout w:type="fixed"/>
          <w:tblCellMar>
            <w:top w:w="0" w:type="dxa"/>
            <w:left w:w="0" w:type="dxa"/>
            <w:bottom w:w="0" w:type="dxa"/>
            <w:right w:w="0" w:type="dxa"/>
          </w:tblCellMar>
        </w:tblPrEx>
        <w:trPr>
          <w:trHeight w:val="642" w:hRule="atLeast"/>
        </w:trPr>
        <w:tc>
          <w:tcPr>
            <w:tcW w:w="1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30.56</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30.56</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30.56</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Layout w:type="fixed"/>
          <w:tblCellMar>
            <w:top w:w="0" w:type="dxa"/>
            <w:left w:w="0" w:type="dxa"/>
            <w:bottom w:w="0" w:type="dxa"/>
            <w:right w:w="0" w:type="dxa"/>
          </w:tblCellMar>
        </w:tblPrEx>
        <w:trPr>
          <w:trHeight w:val="401" w:hRule="atLeast"/>
        </w:trPr>
        <w:tc>
          <w:tcPr>
            <w:tcW w:w="1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30.56</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30.56</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30.56</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642" w:hRule="atLeast"/>
        </w:trPr>
        <w:tc>
          <w:tcPr>
            <w:tcW w:w="1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401" w:hRule="atLeast"/>
        </w:trPr>
        <w:tc>
          <w:tcPr>
            <w:tcW w:w="1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401" w:hRule="atLeast"/>
        </w:trPr>
        <w:tc>
          <w:tcPr>
            <w:tcW w:w="17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25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Layout w:type="fixed"/>
          <w:tblCellMar>
            <w:top w:w="0" w:type="dxa"/>
            <w:left w:w="0" w:type="dxa"/>
            <w:bottom w:w="0" w:type="dxa"/>
            <w:right w:w="0" w:type="dxa"/>
          </w:tblCellMar>
        </w:tblPrEx>
        <w:trPr>
          <w:trHeight w:val="1260" w:hRule="atLeast"/>
        </w:trPr>
        <w:tc>
          <w:tcPr>
            <w:tcW w:w="1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5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目标1：对身份不明就医产生医疗费用的急危重伤病患者进行医疗救助；                                           </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目标2：对身份明确但无力支付医疗费用的急危重伤病患者进行医疗救助。</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目标1：对身份不明就医产生医疗费用的急危重伤病患者进行医疗救助；                                           </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目标2：对身份明确但无力支付医疗费用的急危重伤病患者进行医疗救助。</w:t>
            </w:r>
          </w:p>
        </w:tc>
      </w:tr>
      <w:tr>
        <w:tblPrEx>
          <w:tblLayout w:type="fixed"/>
          <w:tblCellMar>
            <w:top w:w="0" w:type="dxa"/>
            <w:left w:w="0" w:type="dxa"/>
            <w:bottom w:w="0" w:type="dxa"/>
            <w:right w:w="0" w:type="dxa"/>
          </w:tblCellMar>
        </w:tblPrEx>
        <w:trPr>
          <w:trHeight w:val="95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Layout w:type="fixed"/>
          <w:tblCellMar>
            <w:top w:w="0" w:type="dxa"/>
            <w:left w:w="0" w:type="dxa"/>
            <w:bottom w:w="0" w:type="dxa"/>
            <w:right w:w="0" w:type="dxa"/>
          </w:tblCellMar>
        </w:tblPrEx>
        <w:trPr>
          <w:trHeight w:val="856" w:hRule="atLeast"/>
        </w:trPr>
        <w:tc>
          <w:tcPr>
            <w:tcW w:w="8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8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合作救助医院数量</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w:t>
            </w: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56"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救助覆盖旗县数</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6"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疾病应急救助人数</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56"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疾病应急救助类别</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6"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疾病应急救助率</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6"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救助旗县覆盖率</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56"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救助资金到位率</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56"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医疗救助完成时间</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56"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医疗救助及时率</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6"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疾病应急救助支出</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30.56</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951"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及时给予合作医院医疗救助费用保障合作医院的基本权益</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568"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对需要救助的人群提供无差别救助保障救助人群的利益</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56"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项目持续影响期限</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951"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建立健全医疗救助人群的保障机制</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效果显著</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效果显著</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56"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救助对象满意度</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56" w:hRule="atLeast"/>
        </w:trPr>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医疗机构满意度</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66" w:hRule="atLeast"/>
        </w:trPr>
        <w:tc>
          <w:tcPr>
            <w:tcW w:w="766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（三）单位项目绩效评价结果。</w:t>
      </w:r>
    </w:p>
    <w:p>
      <w:pPr>
        <w:widowControl/>
        <w:spacing w:before="240" w:after="240"/>
        <w:ind w:firstLine="481"/>
        <w:jc w:val="left"/>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以市保健委经费项目为例，该项目绩效评价综合得分为</w:t>
      </w:r>
      <w:r>
        <w:rPr>
          <w:rFonts w:hint="eastAsia" w:ascii="仿宋" w:hAnsi="仿宋" w:eastAsia="仿宋" w:cs="仿宋"/>
          <w:kern w:val="0"/>
          <w:sz w:val="32"/>
          <w:szCs w:val="32"/>
          <w:u w:val="single"/>
          <w:lang w:val="en-US" w:eastAsia="zh-CN"/>
        </w:rPr>
        <w:t>97.59</w:t>
      </w:r>
      <w:r>
        <w:rPr>
          <w:rFonts w:hint="eastAsia" w:ascii="仿宋" w:hAnsi="仿宋" w:eastAsia="仿宋" w:cs="仿宋"/>
          <w:kern w:val="0"/>
          <w:sz w:val="32"/>
          <w:szCs w:val="32"/>
        </w:rPr>
        <w:t>分，绩效评价结果为“优”。重点项目绩效评价得分情况详见部门具体绩效评价结果。</w:t>
      </w:r>
    </w:p>
    <w:p>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2023年</w:t>
      </w:r>
      <w:r>
        <w:rPr>
          <w:rFonts w:ascii="方正小标宋简体" w:hAnsi="方正小标宋简体" w:eastAsia="方正小标宋简体" w:cs="方正小标宋简体"/>
          <w:sz w:val="44"/>
        </w:rPr>
        <w:t>市保健委经费项目绩效自评报告</w:t>
      </w:r>
    </w:p>
    <w:p>
      <w:pPr>
        <w:numPr>
          <w:ilvl w:val="0"/>
          <w:numId w:val="0"/>
        </w:numPr>
        <w:spacing w:line="240" w:lineRule="auto"/>
        <w:ind w:firstLine="643" w:firstLineChars="200"/>
        <w:jc w:val="left"/>
        <w:rPr>
          <w:rFonts w:ascii="仿宋" w:hAnsi="仿宋" w:eastAsia="仿宋"/>
          <w:b/>
          <w:sz w:val="32"/>
          <w:szCs w:val="32"/>
        </w:rPr>
      </w:pPr>
      <w:r>
        <w:rPr>
          <w:rFonts w:hint="eastAsia" w:ascii="仿宋" w:hAnsi="仿宋" w:eastAsia="仿宋"/>
          <w:b/>
          <w:sz w:val="32"/>
          <w:szCs w:val="32"/>
          <w:lang w:val="en-US" w:eastAsia="zh-CN"/>
        </w:rPr>
        <w:t>一、</w:t>
      </w:r>
      <w:r>
        <w:rPr>
          <w:rFonts w:hint="eastAsia" w:ascii="仿宋" w:hAnsi="仿宋" w:eastAsia="仿宋"/>
          <w:b/>
          <w:sz w:val="32"/>
          <w:szCs w:val="32"/>
        </w:rPr>
        <w:t>项目基本情况</w:t>
      </w:r>
    </w:p>
    <w:p>
      <w:pPr>
        <w:spacing w:before="188" w:line="204" w:lineRule="auto"/>
        <w:ind w:firstLine="612"/>
        <w:rPr>
          <w:rFonts w:ascii="仿宋" w:hAnsi="仿宋" w:eastAsia="仿宋"/>
          <w:b/>
          <w:sz w:val="32"/>
          <w:szCs w:val="32"/>
        </w:rPr>
      </w:pPr>
      <w:r>
        <w:rPr>
          <w:rFonts w:ascii="仿宋" w:hAnsi="仿宋" w:eastAsia="仿宋" w:cs="仿宋"/>
          <w:spacing w:val="3"/>
          <w:sz w:val="30"/>
          <w:szCs w:val="30"/>
        </w:rPr>
        <w:t>（一）项目基本情况简介。</w:t>
      </w:r>
    </w:p>
    <w:p>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巴彦淖尔市干部保健日常工作经费。</w:t>
      </w:r>
    </w:p>
    <w:p>
      <w:pPr>
        <w:numPr>
          <w:ilvl w:val="0"/>
          <w:numId w:val="4"/>
        </w:numPr>
        <w:spacing w:before="188" w:line="204" w:lineRule="auto"/>
        <w:ind w:firstLine="632"/>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rPr>
        <w:t>指标</w:t>
      </w:r>
      <w:r>
        <w:rPr>
          <w:rFonts w:ascii="仿宋" w:hAnsi="仿宋" w:eastAsia="仿宋" w:cs="仿宋"/>
          <w:spacing w:val="8"/>
          <w:sz w:val="30"/>
          <w:szCs w:val="30"/>
        </w:rPr>
        <w:t>完成情况。</w:t>
      </w:r>
    </w:p>
    <w:p>
      <w:pPr>
        <w:spacing w:before="188" w:line="204" w:lineRule="auto"/>
        <w:ind w:firstLine="632" w:firstLineChars="200"/>
        <w:rPr>
          <w:rFonts w:ascii="仿宋" w:hAnsi="仿宋" w:eastAsia="仿宋" w:cs="仿宋"/>
          <w:spacing w:val="8"/>
          <w:sz w:val="30"/>
          <w:szCs w:val="30"/>
        </w:rPr>
      </w:pPr>
      <w:r>
        <w:rPr>
          <w:rFonts w:hint="eastAsia" w:ascii="仿宋" w:hAnsi="仿宋" w:eastAsia="仿宋" w:cs="仿宋"/>
          <w:spacing w:val="8"/>
          <w:sz w:val="30"/>
          <w:szCs w:val="30"/>
        </w:rPr>
        <w:t>预期目标：</w:t>
      </w:r>
      <w:r>
        <w:rPr>
          <w:rFonts w:ascii="仿宋" w:hAnsi="仿宋" w:eastAsia="仿宋" w:cs="仿宋"/>
          <w:spacing w:val="8"/>
          <w:sz w:val="30"/>
        </w:rPr>
        <w:t>目标1：按照市委组织部审定名单，安排市直单位、驻市条管单位干部保健体检；</w:t>
      </w:r>
      <w:r>
        <w:rPr>
          <w:rFonts w:ascii="仿宋" w:hAnsi="仿宋" w:eastAsia="仿宋" w:cs="仿宋"/>
          <w:spacing w:val="8"/>
          <w:sz w:val="30"/>
        </w:rPr>
        <w:cr/>
      </w:r>
      <w:r>
        <w:rPr>
          <w:rFonts w:ascii="仿宋" w:hAnsi="仿宋" w:eastAsia="仿宋" w:cs="仿宋"/>
          <w:spacing w:val="8"/>
          <w:sz w:val="30"/>
        </w:rPr>
        <w:t xml:space="preserve"> </w:t>
      </w:r>
      <w:r>
        <w:rPr>
          <w:rFonts w:hint="eastAsia" w:ascii="仿宋" w:hAnsi="仿宋" w:eastAsia="仿宋" w:cs="仿宋"/>
          <w:spacing w:val="8"/>
          <w:sz w:val="30"/>
          <w:lang w:val="en-US" w:eastAsia="zh-CN"/>
        </w:rPr>
        <w:t xml:space="preserve">  </w:t>
      </w:r>
      <w:r>
        <w:rPr>
          <w:rFonts w:ascii="仿宋" w:hAnsi="仿宋" w:eastAsia="仿宋" w:cs="仿宋"/>
          <w:spacing w:val="8"/>
          <w:sz w:val="30"/>
        </w:rPr>
        <w:t>目标2：厅级保健干部体检筛查的重点健康危险因素市外复查；</w:t>
      </w:r>
      <w:r>
        <w:rPr>
          <w:rFonts w:ascii="仿宋" w:hAnsi="仿宋" w:eastAsia="仿宋" w:cs="仿宋"/>
          <w:spacing w:val="8"/>
          <w:sz w:val="30"/>
        </w:rPr>
        <w:cr/>
      </w:r>
      <w:r>
        <w:rPr>
          <w:rFonts w:ascii="仿宋" w:hAnsi="仿宋" w:eastAsia="仿宋" w:cs="仿宋"/>
          <w:spacing w:val="8"/>
          <w:sz w:val="30"/>
        </w:rPr>
        <w:t xml:space="preserve"> </w:t>
      </w:r>
      <w:r>
        <w:rPr>
          <w:rFonts w:hint="eastAsia" w:ascii="仿宋" w:hAnsi="仿宋" w:eastAsia="仿宋" w:cs="仿宋"/>
          <w:spacing w:val="8"/>
          <w:sz w:val="30"/>
          <w:lang w:val="en-US" w:eastAsia="zh-CN"/>
        </w:rPr>
        <w:t xml:space="preserve">  </w:t>
      </w:r>
      <w:r>
        <w:rPr>
          <w:rFonts w:ascii="仿宋" w:hAnsi="仿宋" w:eastAsia="仿宋" w:cs="仿宋"/>
          <w:spacing w:val="8"/>
          <w:sz w:val="30"/>
        </w:rPr>
        <w:t>目标3：厅级保健干部保健药品和疫苗；</w:t>
      </w:r>
      <w:r>
        <w:rPr>
          <w:rFonts w:ascii="仿宋" w:hAnsi="仿宋" w:eastAsia="仿宋" w:cs="仿宋"/>
          <w:spacing w:val="8"/>
          <w:sz w:val="30"/>
        </w:rPr>
        <w:cr/>
      </w:r>
      <w:r>
        <w:rPr>
          <w:rFonts w:ascii="仿宋" w:hAnsi="仿宋" w:eastAsia="仿宋" w:cs="仿宋"/>
          <w:spacing w:val="8"/>
          <w:sz w:val="30"/>
        </w:rPr>
        <w:t xml:space="preserve"> </w:t>
      </w:r>
      <w:r>
        <w:rPr>
          <w:rFonts w:hint="eastAsia" w:ascii="仿宋" w:hAnsi="仿宋" w:eastAsia="仿宋" w:cs="仿宋"/>
          <w:spacing w:val="8"/>
          <w:sz w:val="30"/>
          <w:lang w:val="en-US" w:eastAsia="zh-CN"/>
        </w:rPr>
        <w:t xml:space="preserve">  </w:t>
      </w:r>
      <w:r>
        <w:rPr>
          <w:rFonts w:ascii="仿宋" w:hAnsi="仿宋" w:eastAsia="仿宋" w:cs="仿宋"/>
          <w:spacing w:val="8"/>
          <w:sz w:val="30"/>
        </w:rPr>
        <w:t>目标4：完成重大活动、重要会议医疗保健工作。</w:t>
      </w:r>
    </w:p>
    <w:p>
      <w:pPr>
        <w:spacing w:before="188" w:line="204" w:lineRule="auto"/>
        <w:ind w:firstLine="632" w:firstLineChars="200"/>
        <w:rPr>
          <w:rFonts w:ascii="仿宋"/>
          <w:sz w:val="32"/>
        </w:rPr>
      </w:pPr>
      <w:r>
        <w:rPr>
          <w:rFonts w:hint="eastAsia" w:ascii="仿宋" w:hAnsi="仿宋" w:eastAsia="仿宋" w:cs="仿宋"/>
          <w:spacing w:val="8"/>
          <w:sz w:val="30"/>
          <w:szCs w:val="30"/>
        </w:rPr>
        <w:t>绩效目标实际完成情况：</w:t>
      </w:r>
      <w:r>
        <w:rPr>
          <w:rFonts w:ascii="仿宋" w:hAnsi="仿宋" w:eastAsia="仿宋" w:cs="仿宋"/>
          <w:spacing w:val="8"/>
          <w:sz w:val="30"/>
        </w:rPr>
        <w:t>目标1：按照市委组织部审定名单，安排市直单位、驻市条管单位干部保健体检；</w:t>
      </w:r>
      <w:r>
        <w:rPr>
          <w:rFonts w:ascii="仿宋" w:hAnsi="仿宋" w:eastAsia="仿宋" w:cs="仿宋"/>
          <w:spacing w:val="8"/>
          <w:sz w:val="30"/>
        </w:rPr>
        <w:cr/>
      </w:r>
      <w:r>
        <w:rPr>
          <w:rFonts w:hint="eastAsia" w:ascii="仿宋" w:hAnsi="仿宋" w:eastAsia="仿宋" w:cs="仿宋"/>
          <w:spacing w:val="8"/>
          <w:sz w:val="30"/>
          <w:lang w:val="en-US" w:eastAsia="zh-CN"/>
        </w:rPr>
        <w:t xml:space="preserve">  </w:t>
      </w:r>
      <w:r>
        <w:rPr>
          <w:rFonts w:ascii="仿宋" w:hAnsi="仿宋" w:eastAsia="仿宋" w:cs="仿宋"/>
          <w:spacing w:val="8"/>
          <w:sz w:val="30"/>
        </w:rPr>
        <w:t xml:space="preserve"> 目标2：厅级保健干部体检筛查的重点健康危险因素市外复查；</w:t>
      </w:r>
      <w:r>
        <w:rPr>
          <w:rFonts w:ascii="仿宋" w:hAnsi="仿宋" w:eastAsia="仿宋" w:cs="仿宋"/>
          <w:spacing w:val="8"/>
          <w:sz w:val="30"/>
        </w:rPr>
        <w:cr/>
      </w:r>
      <w:r>
        <w:rPr>
          <w:rFonts w:ascii="仿宋" w:hAnsi="仿宋" w:eastAsia="仿宋" w:cs="仿宋"/>
          <w:spacing w:val="8"/>
          <w:sz w:val="30"/>
        </w:rPr>
        <w:t xml:space="preserve"> </w:t>
      </w:r>
      <w:r>
        <w:rPr>
          <w:rFonts w:hint="eastAsia" w:ascii="仿宋" w:hAnsi="仿宋" w:eastAsia="仿宋" w:cs="仿宋"/>
          <w:spacing w:val="8"/>
          <w:sz w:val="30"/>
          <w:lang w:val="en-US" w:eastAsia="zh-CN"/>
        </w:rPr>
        <w:t xml:space="preserve">  </w:t>
      </w:r>
      <w:r>
        <w:rPr>
          <w:rFonts w:ascii="仿宋" w:hAnsi="仿宋" w:eastAsia="仿宋" w:cs="仿宋"/>
          <w:spacing w:val="8"/>
          <w:sz w:val="30"/>
        </w:rPr>
        <w:t>目标3：厅级保健干部保健药品和疫苗；</w:t>
      </w:r>
      <w:r>
        <w:rPr>
          <w:rFonts w:ascii="仿宋" w:hAnsi="仿宋" w:eastAsia="仿宋" w:cs="仿宋"/>
          <w:spacing w:val="8"/>
          <w:sz w:val="30"/>
        </w:rPr>
        <w:cr/>
      </w:r>
      <w:r>
        <w:rPr>
          <w:rFonts w:ascii="仿宋" w:hAnsi="仿宋" w:eastAsia="仿宋" w:cs="仿宋"/>
          <w:spacing w:val="8"/>
          <w:sz w:val="30"/>
        </w:rPr>
        <w:t xml:space="preserve"> </w:t>
      </w:r>
      <w:r>
        <w:rPr>
          <w:rFonts w:hint="eastAsia" w:ascii="仿宋" w:hAnsi="仿宋" w:eastAsia="仿宋" w:cs="仿宋"/>
          <w:spacing w:val="8"/>
          <w:sz w:val="30"/>
          <w:lang w:val="en-US" w:eastAsia="zh-CN"/>
        </w:rPr>
        <w:t xml:space="preserve">  </w:t>
      </w:r>
      <w:r>
        <w:rPr>
          <w:rFonts w:ascii="仿宋" w:hAnsi="仿宋" w:eastAsia="仿宋" w:cs="仿宋"/>
          <w:spacing w:val="8"/>
          <w:sz w:val="30"/>
        </w:rPr>
        <w:t>目标4：完成重大活动、重要会议医疗保健工作。</w:t>
      </w:r>
    </w:p>
    <w:p>
      <w:pPr>
        <w:numPr>
          <w:ilvl w:val="0"/>
          <w:numId w:val="0"/>
        </w:numPr>
        <w:spacing w:line="240" w:lineRule="auto"/>
        <w:ind w:leftChars="0" w:firstLine="643" w:firstLineChars="200"/>
        <w:rPr>
          <w:rFonts w:ascii="仿宋" w:hAnsi="仿宋" w:eastAsia="仿宋"/>
          <w:b/>
          <w:sz w:val="32"/>
          <w:szCs w:val="32"/>
        </w:rPr>
      </w:pPr>
      <w:r>
        <w:rPr>
          <w:rFonts w:hint="eastAsia" w:ascii="仿宋" w:hAnsi="仿宋" w:eastAsia="仿宋"/>
          <w:b/>
          <w:sz w:val="32"/>
          <w:szCs w:val="32"/>
          <w:lang w:val="en-US" w:eastAsia="zh-CN"/>
        </w:rPr>
        <w:t>二、</w:t>
      </w:r>
      <w:r>
        <w:rPr>
          <w:rFonts w:hint="eastAsia" w:ascii="仿宋" w:hAnsi="仿宋" w:eastAsia="仿宋"/>
          <w:b/>
          <w:sz w:val="32"/>
          <w:szCs w:val="32"/>
        </w:rPr>
        <w:t>绩效自评工作情况</w:t>
      </w:r>
    </w:p>
    <w:p>
      <w:pPr>
        <w:numPr>
          <w:ilvl w:val="0"/>
          <w:numId w:val="5"/>
        </w:numPr>
        <w:spacing w:before="188" w:line="204" w:lineRule="auto"/>
        <w:ind w:firstLine="604"/>
        <w:rPr>
          <w:rFonts w:ascii="仿宋" w:hAnsi="仿宋" w:eastAsia="仿宋" w:cs="仿宋"/>
          <w:b/>
          <w:bCs/>
          <w:spacing w:val="1"/>
          <w:sz w:val="30"/>
          <w:szCs w:val="30"/>
        </w:rPr>
      </w:pPr>
      <w:r>
        <w:rPr>
          <w:rFonts w:ascii="仿宋" w:hAnsi="仿宋" w:eastAsia="仿宋" w:cs="仿宋"/>
          <w:b/>
          <w:bCs/>
          <w:spacing w:val="1"/>
          <w:sz w:val="30"/>
          <w:szCs w:val="30"/>
        </w:rPr>
        <w:t>绩效自评目的。</w:t>
      </w:r>
    </w:p>
    <w:p>
      <w:pPr>
        <w:widowControl/>
        <w:ind w:firstLine="604"/>
        <w:jc w:val="left"/>
        <w:rPr>
          <w:rFonts w:ascii="仿宋" w:hAnsi="仿宋" w:eastAsia="仿宋" w:cs="仿宋"/>
          <w:spacing w:val="1"/>
          <w:sz w:val="30"/>
          <w:szCs w:val="30"/>
        </w:rPr>
      </w:pPr>
      <w:r>
        <w:rPr>
          <w:rFonts w:ascii="仿宋" w:hAnsi="仿宋" w:eastAsia="仿宋" w:cs="仿宋"/>
          <w:spacing w:val="1"/>
          <w:sz w:val="30"/>
          <w:szCs w:val="30"/>
        </w:rPr>
        <w:t>1.我单位按照绩效考核办法，结合实际，制定本单位绩效管理目标，确定绩效考核内容及标准。</w:t>
      </w:r>
      <w:r>
        <w:rPr>
          <w:rFonts w:ascii="仿宋" w:hAnsi="仿宋" w:eastAsia="仿宋" w:cs="仿宋"/>
          <w:spacing w:val="1"/>
          <w:sz w:val="30"/>
          <w:szCs w:val="30"/>
        </w:rPr>
        <w:cr/>
      </w:r>
      <w:r>
        <w:rPr>
          <w:rFonts w:hint="eastAsia" w:ascii="仿宋" w:hAnsi="仿宋" w:eastAsia="仿宋" w:cs="仿宋"/>
          <w:spacing w:val="1"/>
          <w:sz w:val="30"/>
          <w:szCs w:val="30"/>
          <w:lang w:val="en-US" w:eastAsia="zh-CN"/>
        </w:rPr>
        <w:t xml:space="preserve">    </w:t>
      </w:r>
      <w:r>
        <w:rPr>
          <w:rFonts w:ascii="仿宋" w:hAnsi="仿宋" w:eastAsia="仿宋" w:cs="仿宋"/>
          <w:spacing w:val="1"/>
          <w:sz w:val="30"/>
          <w:szCs w:val="30"/>
        </w:rPr>
        <w:t>2.规范绩效考核的程序及标准，做到科学、合理、公正。</w:t>
      </w:r>
      <w:r>
        <w:rPr>
          <w:rFonts w:ascii="仿宋" w:hAnsi="仿宋" w:eastAsia="仿宋" w:cs="仿宋"/>
          <w:spacing w:val="1"/>
          <w:sz w:val="30"/>
          <w:szCs w:val="30"/>
        </w:rPr>
        <w:cr/>
      </w:r>
      <w:r>
        <w:rPr>
          <w:rFonts w:hint="eastAsia" w:ascii="仿宋" w:hAnsi="仿宋" w:eastAsia="仿宋" w:cs="仿宋"/>
          <w:spacing w:val="1"/>
          <w:sz w:val="30"/>
          <w:szCs w:val="30"/>
          <w:lang w:val="en-US" w:eastAsia="zh-CN"/>
        </w:rPr>
        <w:t xml:space="preserve">    </w:t>
      </w:r>
      <w:r>
        <w:rPr>
          <w:rFonts w:ascii="仿宋" w:hAnsi="仿宋" w:eastAsia="仿宋" w:cs="仿宋"/>
          <w:spacing w:val="1"/>
          <w:sz w:val="30"/>
          <w:szCs w:val="30"/>
        </w:rPr>
        <w:t>3.建立绩效管理制度，做到绩效考核的全面性，提高绩效考核的可操作性，为绩效管理制定有效的考核制度。</w:t>
      </w:r>
      <w:r>
        <w:rPr>
          <w:rFonts w:ascii="仿宋" w:hAnsi="仿宋" w:eastAsia="仿宋" w:cs="仿宋"/>
          <w:spacing w:val="1"/>
          <w:sz w:val="30"/>
          <w:szCs w:val="30"/>
        </w:rPr>
        <w:cr/>
      </w:r>
      <w:r>
        <w:rPr>
          <w:rFonts w:hint="eastAsia" w:ascii="仿宋" w:hAnsi="仿宋" w:eastAsia="仿宋" w:cs="仿宋"/>
          <w:spacing w:val="1"/>
          <w:sz w:val="30"/>
          <w:szCs w:val="30"/>
          <w:lang w:val="en-US" w:eastAsia="zh-CN"/>
        </w:rPr>
        <w:t xml:space="preserve">    </w:t>
      </w:r>
      <w:r>
        <w:rPr>
          <w:rFonts w:ascii="仿宋" w:hAnsi="仿宋" w:eastAsia="仿宋" w:cs="仿宋"/>
          <w:spacing w:val="1"/>
          <w:sz w:val="30"/>
          <w:szCs w:val="30"/>
        </w:rPr>
        <w:t>4.规范和加强财政项目支出管理，建立科学、规范的财政支出绩效评价管理体系，提高财政资金使用效益。</w:t>
      </w:r>
    </w:p>
    <w:p>
      <w:pPr>
        <w:spacing w:before="189" w:line="204" w:lineRule="auto"/>
        <w:ind w:firstLine="616"/>
        <w:rPr>
          <w:rFonts w:ascii="仿宋" w:hAnsi="仿宋" w:eastAsia="仿宋" w:cs="仿宋"/>
          <w:b/>
          <w:bCs/>
          <w:spacing w:val="4"/>
          <w:sz w:val="30"/>
          <w:szCs w:val="30"/>
        </w:rPr>
      </w:pPr>
      <w:r>
        <w:rPr>
          <w:rFonts w:ascii="仿宋" w:hAnsi="仿宋" w:eastAsia="仿宋" w:cs="仿宋"/>
          <w:b/>
          <w:bCs/>
          <w:spacing w:val="4"/>
          <w:sz w:val="30"/>
          <w:szCs w:val="30"/>
        </w:rPr>
        <w:t>（二）项目资金投入情况。</w:t>
      </w:r>
    </w:p>
    <w:p>
      <w:pPr>
        <w:widowControl/>
        <w:kinsoku w:val="0"/>
        <w:autoSpaceDE w:val="0"/>
        <w:autoSpaceDN w:val="0"/>
        <w:adjustRightInd w:val="0"/>
        <w:snapToGrid w:val="0"/>
        <w:spacing w:before="189" w:line="312" w:lineRule="auto"/>
        <w:ind w:left="420" w:firstLine="420" w:firstLineChars="0"/>
        <w:textAlignment w:val="baseline"/>
        <w:rPr>
          <w:rFonts w:ascii="仿宋" w:hAnsi="仿宋" w:eastAsia="仿宋" w:cs="仿宋"/>
          <w:spacing w:val="4"/>
          <w:sz w:val="30"/>
          <w:szCs w:val="30"/>
        </w:rPr>
      </w:pPr>
      <w:r>
        <w:rPr>
          <w:rFonts w:hint="eastAsia" w:ascii="仿宋" w:hAnsi="仿宋" w:eastAsia="仿宋" w:cs="仿宋"/>
          <w:spacing w:val="4"/>
          <w:sz w:val="30"/>
          <w:szCs w:val="30"/>
        </w:rPr>
        <w:t>本年度资金年初预算数</w:t>
      </w:r>
      <w:r>
        <w:rPr>
          <w:rFonts w:ascii="仿宋" w:hAnsi="仿宋" w:eastAsia="仿宋" w:cs="仿宋"/>
          <w:spacing w:val="4"/>
          <w:sz w:val="30"/>
        </w:rPr>
        <w:t>100.00万元，其中：财政拨款100.00万元，其他资金0.00万元。</w:t>
      </w:r>
    </w:p>
    <w:p>
      <w:pPr>
        <w:widowControl/>
        <w:kinsoku w:val="0"/>
        <w:autoSpaceDE w:val="0"/>
        <w:autoSpaceDN w:val="0"/>
        <w:adjustRightInd w:val="0"/>
        <w:snapToGrid w:val="0"/>
        <w:spacing w:before="189" w:line="312" w:lineRule="auto"/>
        <w:ind w:left="420" w:firstLine="420" w:firstLineChars="0"/>
        <w:textAlignment w:val="baseline"/>
        <w:rPr>
          <w:rFonts w:ascii="仿宋" w:hAnsi="仿宋" w:eastAsia="仿宋" w:cs="仿宋"/>
          <w:spacing w:val="4"/>
          <w:sz w:val="30"/>
          <w:szCs w:val="30"/>
        </w:rPr>
      </w:pPr>
      <w:r>
        <w:rPr>
          <w:rFonts w:hint="eastAsia" w:ascii="仿宋" w:hAnsi="仿宋" w:eastAsia="仿宋" w:cs="仿宋"/>
          <w:spacing w:val="4"/>
          <w:sz w:val="30"/>
          <w:szCs w:val="30"/>
        </w:rPr>
        <w:t>本年度资金全年预算数</w:t>
      </w:r>
      <w:r>
        <w:rPr>
          <w:rFonts w:ascii="仿宋" w:hAnsi="仿宋" w:eastAsia="仿宋" w:cs="仿宋"/>
          <w:spacing w:val="4"/>
          <w:sz w:val="30"/>
        </w:rPr>
        <w:t>100.00万元，其中：财政拨款100.00万元，其他资金0.00万元。</w:t>
      </w:r>
    </w:p>
    <w:p>
      <w:pPr>
        <w:widowControl/>
        <w:kinsoku w:val="0"/>
        <w:autoSpaceDE w:val="0"/>
        <w:autoSpaceDN w:val="0"/>
        <w:adjustRightInd w:val="0"/>
        <w:snapToGrid w:val="0"/>
        <w:spacing w:before="189" w:line="312" w:lineRule="auto"/>
        <w:ind w:left="420" w:firstLine="420" w:firstLineChars="0"/>
        <w:textAlignment w:val="baseline"/>
        <w:rPr>
          <w:rFonts w:ascii="仿宋" w:hAnsi="仿宋" w:eastAsia="仿宋" w:cs="仿宋"/>
          <w:spacing w:val="4"/>
          <w:sz w:val="30"/>
          <w:szCs w:val="30"/>
        </w:rPr>
      </w:pPr>
      <w:r>
        <w:rPr>
          <w:rFonts w:hint="eastAsia" w:ascii="仿宋" w:hAnsi="仿宋" w:eastAsia="仿宋" w:cs="仿宋"/>
          <w:spacing w:val="4"/>
          <w:sz w:val="30"/>
          <w:szCs w:val="30"/>
        </w:rPr>
        <w:t>本年度资金全年执行数</w:t>
      </w:r>
      <w:r>
        <w:rPr>
          <w:rFonts w:ascii="仿宋" w:hAnsi="仿宋" w:eastAsia="仿宋" w:cs="仿宋"/>
          <w:spacing w:val="4"/>
          <w:sz w:val="30"/>
        </w:rPr>
        <w:t>75.86万元，其中：财政拨款75.86万元，其他资金0.00万元。</w:t>
      </w:r>
    </w:p>
    <w:p>
      <w:pPr>
        <w:numPr>
          <w:ilvl w:val="0"/>
          <w:numId w:val="0"/>
        </w:numPr>
        <w:spacing w:before="188" w:line="204" w:lineRule="auto"/>
        <w:ind w:firstLine="618" w:firstLineChars="200"/>
        <w:rPr>
          <w:rFonts w:ascii="仿宋" w:hAnsi="仿宋" w:eastAsia="仿宋" w:cs="仿宋"/>
          <w:b/>
          <w:bCs/>
          <w:spacing w:val="4"/>
          <w:sz w:val="30"/>
          <w:szCs w:val="30"/>
        </w:rPr>
      </w:pPr>
      <w:r>
        <w:rPr>
          <w:rFonts w:hint="eastAsia" w:ascii="仿宋" w:hAnsi="仿宋" w:eastAsia="仿宋" w:cs="仿宋"/>
          <w:b/>
          <w:bCs/>
          <w:spacing w:val="4"/>
          <w:sz w:val="30"/>
          <w:szCs w:val="30"/>
          <w:lang w:eastAsia="zh-CN"/>
        </w:rPr>
        <w:t>（</w:t>
      </w:r>
      <w:r>
        <w:rPr>
          <w:rFonts w:hint="eastAsia" w:ascii="仿宋" w:hAnsi="仿宋" w:eastAsia="仿宋" w:cs="仿宋"/>
          <w:b/>
          <w:bCs/>
          <w:spacing w:val="4"/>
          <w:sz w:val="30"/>
          <w:szCs w:val="30"/>
          <w:lang w:val="en-US" w:eastAsia="zh-CN"/>
        </w:rPr>
        <w:t>三）</w:t>
      </w:r>
      <w:r>
        <w:rPr>
          <w:rFonts w:ascii="仿宋" w:hAnsi="仿宋" w:eastAsia="仿宋" w:cs="仿宋"/>
          <w:b/>
          <w:bCs/>
          <w:spacing w:val="4"/>
          <w:sz w:val="30"/>
          <w:szCs w:val="30"/>
        </w:rPr>
        <w:t>项目资金产出情况。</w:t>
      </w:r>
    </w:p>
    <w:p>
      <w:pPr>
        <w:widowControl/>
        <w:ind w:left="931" w:leftChars="426" w:hanging="36" w:hangingChars="12"/>
        <w:jc w:val="left"/>
        <w:rPr>
          <w:rFonts w:ascii="仿宋" w:hAnsi="仿宋" w:eastAsia="仿宋" w:cs="仿宋"/>
          <w:spacing w:val="4"/>
          <w:sz w:val="30"/>
          <w:szCs w:val="30"/>
        </w:rPr>
      </w:pPr>
      <w:r>
        <w:rPr>
          <w:rFonts w:ascii="仿宋" w:hAnsi="仿宋" w:eastAsia="仿宋" w:cs="仿宋"/>
          <w:spacing w:val="1"/>
          <w:sz w:val="30"/>
          <w:szCs w:val="30"/>
        </w:rPr>
        <w:t>项目支出财政资金75.86万元。</w:t>
      </w:r>
      <w:r>
        <w:rPr>
          <w:rFonts w:ascii="仿宋" w:hAnsi="仿宋" w:eastAsia="仿宋" w:cs="仿宋"/>
          <w:spacing w:val="1"/>
          <w:sz w:val="30"/>
          <w:szCs w:val="30"/>
        </w:rPr>
        <w:cr/>
      </w:r>
      <w:r>
        <w:rPr>
          <w:rFonts w:hint="eastAsia" w:ascii="仿宋" w:hAnsi="仿宋" w:eastAsia="仿宋" w:cs="仿宋"/>
          <w:spacing w:val="1"/>
          <w:sz w:val="30"/>
          <w:szCs w:val="30"/>
          <w:lang w:val="en-US" w:eastAsia="zh-CN"/>
        </w:rPr>
        <w:t>1.</w:t>
      </w:r>
      <w:r>
        <w:rPr>
          <w:rFonts w:ascii="仿宋" w:hAnsi="仿宋" w:eastAsia="仿宋" w:cs="仿宋"/>
          <w:spacing w:val="1"/>
          <w:sz w:val="30"/>
          <w:szCs w:val="30"/>
        </w:rPr>
        <w:t>产出指标完成情况。</w:t>
      </w:r>
      <w:r>
        <w:rPr>
          <w:rFonts w:ascii="仿宋" w:hAnsi="仿宋" w:eastAsia="仿宋" w:cs="仿宋"/>
          <w:spacing w:val="1"/>
          <w:sz w:val="30"/>
          <w:szCs w:val="30"/>
        </w:rPr>
        <w:cr/>
      </w:r>
      <w:r>
        <w:rPr>
          <w:rFonts w:ascii="仿宋" w:hAnsi="仿宋" w:eastAsia="仿宋" w:cs="仿宋"/>
          <w:spacing w:val="1"/>
          <w:sz w:val="30"/>
          <w:szCs w:val="30"/>
        </w:rPr>
        <w:t>产出指标总分值50分，得分50分，指标全部完成。</w:t>
      </w:r>
      <w:r>
        <w:rPr>
          <w:rFonts w:ascii="仿宋" w:hAnsi="仿宋" w:eastAsia="仿宋" w:cs="仿宋"/>
          <w:spacing w:val="1"/>
          <w:sz w:val="30"/>
          <w:szCs w:val="30"/>
        </w:rPr>
        <w:cr/>
      </w:r>
      <w:r>
        <w:rPr>
          <w:rFonts w:hint="eastAsia" w:ascii="仿宋" w:hAnsi="仿宋" w:eastAsia="仿宋" w:cs="仿宋"/>
          <w:spacing w:val="1"/>
          <w:sz w:val="30"/>
          <w:szCs w:val="30"/>
          <w:lang w:val="en-US" w:eastAsia="zh-CN"/>
        </w:rPr>
        <w:t>2.</w:t>
      </w:r>
      <w:r>
        <w:rPr>
          <w:rFonts w:ascii="仿宋" w:hAnsi="仿宋" w:eastAsia="仿宋" w:cs="仿宋"/>
          <w:spacing w:val="1"/>
          <w:sz w:val="30"/>
          <w:szCs w:val="30"/>
        </w:rPr>
        <w:t>效益指标完成情况。</w:t>
      </w:r>
      <w:r>
        <w:rPr>
          <w:rFonts w:ascii="仿宋" w:hAnsi="仿宋" w:eastAsia="仿宋" w:cs="仿宋"/>
          <w:spacing w:val="1"/>
          <w:sz w:val="30"/>
          <w:szCs w:val="30"/>
        </w:rPr>
        <w:cr/>
      </w:r>
      <w:r>
        <w:rPr>
          <w:rFonts w:ascii="仿宋" w:hAnsi="仿宋" w:eastAsia="仿宋" w:cs="仿宋"/>
          <w:spacing w:val="1"/>
          <w:sz w:val="30"/>
          <w:szCs w:val="30"/>
        </w:rPr>
        <w:t>效益指标总分值30分，得分30分，指标全部完成。</w:t>
      </w:r>
      <w:r>
        <w:rPr>
          <w:rFonts w:ascii="仿宋" w:hAnsi="仿宋" w:eastAsia="仿宋" w:cs="仿宋"/>
          <w:spacing w:val="1"/>
          <w:sz w:val="30"/>
          <w:szCs w:val="30"/>
        </w:rPr>
        <w:cr/>
      </w:r>
      <w:r>
        <w:rPr>
          <w:rFonts w:hint="eastAsia" w:ascii="仿宋" w:hAnsi="仿宋" w:eastAsia="仿宋" w:cs="仿宋"/>
          <w:spacing w:val="1"/>
          <w:sz w:val="30"/>
          <w:szCs w:val="30"/>
          <w:lang w:val="en-US" w:eastAsia="zh-CN"/>
        </w:rPr>
        <w:t>3.</w:t>
      </w:r>
      <w:r>
        <w:rPr>
          <w:rFonts w:ascii="仿宋" w:hAnsi="仿宋" w:eastAsia="仿宋" w:cs="仿宋"/>
          <w:spacing w:val="1"/>
          <w:sz w:val="30"/>
          <w:szCs w:val="30"/>
        </w:rPr>
        <w:t>满意度指标完成情况。</w:t>
      </w:r>
      <w:r>
        <w:rPr>
          <w:rFonts w:ascii="仿宋" w:hAnsi="仿宋" w:eastAsia="仿宋" w:cs="仿宋"/>
          <w:spacing w:val="1"/>
          <w:sz w:val="30"/>
          <w:szCs w:val="30"/>
        </w:rPr>
        <w:cr/>
      </w:r>
      <w:r>
        <w:rPr>
          <w:rFonts w:ascii="仿宋" w:hAnsi="仿宋" w:eastAsia="仿宋" w:cs="仿宋"/>
          <w:spacing w:val="1"/>
          <w:sz w:val="30"/>
          <w:szCs w:val="30"/>
        </w:rPr>
        <w:t>满意度指标总分值10分，得分10分，指标全部完成。</w:t>
      </w:r>
      <w:r>
        <w:rPr>
          <w:rFonts w:ascii="仿宋" w:hAnsi="仿宋" w:eastAsia="仿宋" w:cs="仿宋"/>
          <w:spacing w:val="1"/>
          <w:sz w:val="30"/>
          <w:szCs w:val="30"/>
        </w:rPr>
        <w:cr/>
      </w:r>
      <w:r>
        <w:rPr>
          <w:rFonts w:hint="eastAsia" w:ascii="仿宋" w:hAnsi="仿宋" w:eastAsia="仿宋" w:cs="仿宋"/>
          <w:spacing w:val="1"/>
          <w:sz w:val="30"/>
          <w:szCs w:val="30"/>
          <w:lang w:val="en-US" w:eastAsia="zh-CN"/>
        </w:rPr>
        <w:t>4.</w:t>
      </w:r>
      <w:r>
        <w:rPr>
          <w:rFonts w:ascii="仿宋" w:hAnsi="仿宋" w:eastAsia="仿宋" w:cs="仿宋"/>
          <w:spacing w:val="1"/>
          <w:sz w:val="30"/>
          <w:szCs w:val="30"/>
        </w:rPr>
        <w:t>自评得分情况。</w:t>
      </w:r>
      <w:r>
        <w:rPr>
          <w:rFonts w:ascii="仿宋" w:hAnsi="仿宋" w:eastAsia="仿宋" w:cs="仿宋"/>
          <w:spacing w:val="1"/>
          <w:sz w:val="30"/>
          <w:szCs w:val="30"/>
        </w:rPr>
        <w:cr/>
      </w:r>
      <w:r>
        <w:rPr>
          <w:rFonts w:ascii="仿宋" w:hAnsi="仿宋" w:eastAsia="仿宋" w:cs="仿宋"/>
          <w:spacing w:val="1"/>
          <w:sz w:val="30"/>
          <w:szCs w:val="30"/>
        </w:rPr>
        <w:t>项目自评总分值100分，得分97.59分。</w:t>
      </w:r>
    </w:p>
    <w:p>
      <w:pPr>
        <w:numPr>
          <w:ilvl w:val="0"/>
          <w:numId w:val="0"/>
        </w:numPr>
        <w:spacing w:before="189" w:line="204" w:lineRule="auto"/>
        <w:ind w:firstLine="610" w:firstLineChars="200"/>
        <w:rPr>
          <w:rFonts w:ascii="仿宋" w:hAnsi="仿宋" w:eastAsia="仿宋" w:cs="仿宋"/>
          <w:spacing w:val="2"/>
          <w:sz w:val="30"/>
          <w:szCs w:val="30"/>
        </w:rPr>
      </w:pPr>
      <w:r>
        <w:rPr>
          <w:rFonts w:hint="eastAsia" w:ascii="仿宋" w:hAnsi="仿宋" w:eastAsia="仿宋" w:cs="仿宋"/>
          <w:b/>
          <w:bCs/>
          <w:spacing w:val="2"/>
          <w:sz w:val="30"/>
          <w:szCs w:val="30"/>
          <w:lang w:eastAsia="zh-CN"/>
        </w:rPr>
        <w:t>（</w:t>
      </w:r>
      <w:r>
        <w:rPr>
          <w:rFonts w:hint="eastAsia" w:ascii="仿宋" w:hAnsi="仿宋" w:eastAsia="仿宋" w:cs="仿宋"/>
          <w:b/>
          <w:bCs/>
          <w:spacing w:val="2"/>
          <w:sz w:val="30"/>
          <w:szCs w:val="30"/>
          <w:lang w:val="en-US" w:eastAsia="zh-CN"/>
        </w:rPr>
        <w:t>四）</w:t>
      </w:r>
      <w:r>
        <w:rPr>
          <w:rFonts w:ascii="仿宋" w:hAnsi="仿宋" w:eastAsia="仿宋" w:cs="仿宋"/>
          <w:b/>
          <w:bCs/>
          <w:spacing w:val="2"/>
          <w:sz w:val="30"/>
          <w:szCs w:val="30"/>
        </w:rPr>
        <w:t>项目资金管理情况。</w:t>
      </w:r>
    </w:p>
    <w:p>
      <w:pPr>
        <w:widowControl/>
        <w:ind w:firstLine="604" w:firstLineChars="200"/>
        <w:jc w:val="left"/>
        <w:rPr>
          <w:rFonts w:ascii="仿宋" w:hAnsi="仿宋" w:eastAsia="仿宋" w:cs="仿宋"/>
          <w:spacing w:val="1"/>
          <w:sz w:val="30"/>
          <w:szCs w:val="30"/>
        </w:rPr>
      </w:pPr>
      <w:r>
        <w:rPr>
          <w:rFonts w:ascii="仿宋" w:hAnsi="仿宋" w:eastAsia="仿宋" w:cs="仿宋"/>
          <w:spacing w:val="1"/>
          <w:sz w:val="30"/>
          <w:szCs w:val="30"/>
        </w:rPr>
        <w:t>1.资金到位情况。项目资金到位及时，到位率100%。</w:t>
      </w:r>
    </w:p>
    <w:p>
      <w:pPr>
        <w:widowControl/>
        <w:ind w:firstLine="604" w:firstLineChars="200"/>
        <w:jc w:val="left"/>
        <w:rPr>
          <w:rFonts w:ascii="仿宋" w:hAnsi="仿宋" w:eastAsia="仿宋" w:cs="仿宋"/>
          <w:spacing w:val="1"/>
          <w:sz w:val="30"/>
          <w:szCs w:val="30"/>
        </w:rPr>
      </w:pPr>
      <w:r>
        <w:rPr>
          <w:rFonts w:ascii="仿宋" w:hAnsi="仿宋" w:eastAsia="仿宋" w:cs="仿宋"/>
          <w:spacing w:val="1"/>
          <w:sz w:val="30"/>
          <w:szCs w:val="30"/>
        </w:rPr>
        <w:t>2.资金使用情况。项目资金全部支出，严格执行了财务管理制度，</w:t>
      </w:r>
    </w:p>
    <w:p>
      <w:pPr>
        <w:widowControl/>
        <w:ind w:left="906" w:hanging="906" w:hangingChars="300"/>
        <w:jc w:val="left"/>
        <w:rPr>
          <w:rFonts w:ascii="仿宋" w:hAnsi="仿宋" w:eastAsia="仿宋" w:cs="仿宋"/>
          <w:spacing w:val="1"/>
          <w:sz w:val="30"/>
          <w:szCs w:val="30"/>
        </w:rPr>
      </w:pPr>
      <w:r>
        <w:rPr>
          <w:rFonts w:ascii="仿宋" w:hAnsi="仿宋" w:eastAsia="仿宋" w:cs="仿宋"/>
          <w:spacing w:val="1"/>
          <w:sz w:val="30"/>
          <w:szCs w:val="30"/>
        </w:rPr>
        <w:t>财务处理及时，会计核算规范。</w:t>
      </w:r>
    </w:p>
    <w:p>
      <w:pPr>
        <w:widowControl/>
        <w:numPr>
          <w:ilvl w:val="0"/>
          <w:numId w:val="0"/>
        </w:numPr>
        <w:ind w:leftChars="186" w:firstLine="302" w:firstLineChars="100"/>
        <w:jc w:val="left"/>
        <w:rPr>
          <w:rFonts w:ascii="仿宋" w:hAnsi="仿宋" w:eastAsia="仿宋" w:cs="仿宋"/>
          <w:spacing w:val="1"/>
          <w:sz w:val="30"/>
          <w:szCs w:val="30"/>
        </w:rPr>
      </w:pPr>
      <w:r>
        <w:rPr>
          <w:rFonts w:hint="eastAsia" w:ascii="仿宋" w:hAnsi="仿宋" w:eastAsia="仿宋" w:cs="仿宋"/>
          <w:spacing w:val="1"/>
          <w:sz w:val="30"/>
          <w:szCs w:val="30"/>
          <w:lang w:val="en-US" w:eastAsia="zh-CN"/>
        </w:rPr>
        <w:t>3.</w:t>
      </w:r>
      <w:r>
        <w:rPr>
          <w:rFonts w:ascii="仿宋" w:hAnsi="仿宋" w:eastAsia="仿宋" w:cs="仿宋"/>
          <w:spacing w:val="1"/>
          <w:sz w:val="30"/>
          <w:szCs w:val="30"/>
        </w:rPr>
        <w:t>项目组织实施情况。我市通过干部保健体检，发现健康危险因素，</w:t>
      </w:r>
    </w:p>
    <w:p>
      <w:pPr>
        <w:widowControl/>
        <w:numPr>
          <w:ilvl w:val="0"/>
          <w:numId w:val="0"/>
        </w:numPr>
        <w:jc w:val="left"/>
        <w:rPr>
          <w:rFonts w:ascii="仿宋" w:hAnsi="仿宋" w:eastAsia="仿宋" w:cs="仿宋"/>
          <w:spacing w:val="2"/>
          <w:sz w:val="30"/>
          <w:szCs w:val="30"/>
        </w:rPr>
      </w:pPr>
      <w:r>
        <w:rPr>
          <w:rFonts w:ascii="仿宋" w:hAnsi="仿宋" w:eastAsia="仿宋" w:cs="仿宋"/>
          <w:spacing w:val="1"/>
          <w:sz w:val="30"/>
          <w:szCs w:val="30"/>
        </w:rPr>
        <w:t>根据健康状况进行分类管理，并对健康的保健对象，进行定期监测和生活方式指导服务，给予门诊、住院或转院服务，减少健康危险因素，降低慢性病发病率。</w:t>
      </w:r>
      <w:r>
        <w:rPr>
          <w:rFonts w:ascii="仿宋" w:hAnsi="仿宋" w:eastAsia="仿宋" w:cs="仿宋"/>
          <w:spacing w:val="1"/>
          <w:sz w:val="30"/>
          <w:szCs w:val="30"/>
        </w:rPr>
        <w:cr/>
      </w:r>
      <w:r>
        <w:rPr>
          <w:rFonts w:hint="eastAsia" w:ascii="仿宋" w:hAnsi="仿宋" w:eastAsia="仿宋" w:cs="仿宋"/>
          <w:spacing w:val="1"/>
          <w:sz w:val="30"/>
          <w:szCs w:val="30"/>
          <w:lang w:val="en-US" w:eastAsia="zh-CN"/>
        </w:rPr>
        <w:t xml:space="preserve">   </w:t>
      </w:r>
      <w:r>
        <w:rPr>
          <w:rFonts w:ascii="仿宋" w:hAnsi="仿宋" w:eastAsia="仿宋" w:cs="仿宋"/>
          <w:spacing w:val="1"/>
          <w:sz w:val="30"/>
          <w:szCs w:val="30"/>
        </w:rPr>
        <w:t>4</w:t>
      </w:r>
      <w:r>
        <w:rPr>
          <w:rFonts w:hint="eastAsia" w:ascii="仿宋" w:hAnsi="仿宋" w:eastAsia="仿宋" w:cs="仿宋"/>
          <w:spacing w:val="1"/>
          <w:sz w:val="30"/>
          <w:szCs w:val="30"/>
          <w:lang w:val="en-US" w:eastAsia="zh-CN"/>
        </w:rPr>
        <w:t>.</w:t>
      </w:r>
      <w:r>
        <w:rPr>
          <w:rFonts w:ascii="仿宋" w:hAnsi="仿宋" w:eastAsia="仿宋" w:cs="仿宋"/>
          <w:spacing w:val="1"/>
          <w:sz w:val="30"/>
          <w:szCs w:val="30"/>
        </w:rPr>
        <w:t>项目效益情况。项目产生了良好的社会效益，为全市的卫生健康事业做出了良好的贡献。</w:t>
      </w:r>
    </w:p>
    <w:p>
      <w:pPr>
        <w:numPr>
          <w:ilvl w:val="0"/>
          <w:numId w:val="0"/>
        </w:numPr>
        <w:spacing w:line="240" w:lineRule="auto"/>
        <w:ind w:leftChars="0" w:firstLine="643" w:firstLineChars="200"/>
        <w:rPr>
          <w:rFonts w:ascii="仿宋" w:hAnsi="仿宋" w:eastAsia="仿宋"/>
          <w:b/>
          <w:sz w:val="32"/>
          <w:szCs w:val="32"/>
        </w:rPr>
      </w:pPr>
      <w:r>
        <w:rPr>
          <w:rFonts w:hint="eastAsia" w:ascii="仿宋" w:hAnsi="仿宋" w:eastAsia="仿宋"/>
          <w:b/>
          <w:sz w:val="32"/>
          <w:szCs w:val="32"/>
          <w:lang w:val="en-US" w:eastAsia="zh-CN"/>
        </w:rPr>
        <w:t>三、</w:t>
      </w:r>
      <w:r>
        <w:rPr>
          <w:rFonts w:hint="eastAsia" w:ascii="仿宋" w:hAnsi="仿宋" w:eastAsia="仿宋"/>
          <w:b/>
          <w:sz w:val="32"/>
          <w:szCs w:val="32"/>
        </w:rPr>
        <w:t>项目绩效情况</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(一) 产出指标完成情况</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1、数量指标</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1)保健体检人数，目标值大于等于230人，实际完成268人，分值</w:t>
      </w:r>
    </w:p>
    <w:p>
      <w:pPr>
        <w:spacing w:line="620" w:lineRule="exact"/>
        <w:rPr>
          <w:rFonts w:hint="eastAsia" w:ascii="仿宋" w:hAnsi="仿宋" w:eastAsia="仿宋" w:cs="仿宋"/>
          <w:sz w:val="30"/>
          <w:szCs w:val="30"/>
        </w:rPr>
      </w:pPr>
      <w:r>
        <w:rPr>
          <w:rFonts w:hint="eastAsia" w:ascii="仿宋" w:hAnsi="仿宋" w:eastAsia="仿宋" w:cs="仿宋"/>
          <w:sz w:val="30"/>
          <w:szCs w:val="30"/>
        </w:rPr>
        <w:t>4，得分4。</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2)重大活动医疗保健任务，目标值大于等于1次，实际完成11次，</w:t>
      </w:r>
    </w:p>
    <w:p>
      <w:pPr>
        <w:spacing w:line="620" w:lineRule="exact"/>
        <w:rPr>
          <w:rFonts w:hint="eastAsia" w:ascii="仿宋" w:hAnsi="仿宋" w:eastAsia="仿宋" w:cs="仿宋"/>
          <w:sz w:val="30"/>
          <w:szCs w:val="30"/>
        </w:rPr>
      </w:pPr>
      <w:r>
        <w:rPr>
          <w:rFonts w:hint="eastAsia" w:ascii="仿宋" w:hAnsi="仿宋" w:eastAsia="仿宋" w:cs="仿宋"/>
          <w:sz w:val="30"/>
          <w:szCs w:val="30"/>
        </w:rPr>
        <w:t>分值4，得分4。</w:t>
      </w:r>
    </w:p>
    <w:p>
      <w:pPr>
        <w:numPr>
          <w:ilvl w:val="0"/>
          <w:numId w:val="6"/>
        </w:num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陪同对接保健干部市外复查人次，目标值大于等于1人次，实际</w:t>
      </w:r>
    </w:p>
    <w:p>
      <w:pPr>
        <w:numPr>
          <w:ilvl w:val="0"/>
          <w:numId w:val="0"/>
        </w:numPr>
        <w:spacing w:line="620" w:lineRule="exact"/>
        <w:rPr>
          <w:rFonts w:hint="eastAsia" w:ascii="仿宋" w:hAnsi="仿宋" w:eastAsia="仿宋" w:cs="仿宋"/>
          <w:sz w:val="30"/>
          <w:szCs w:val="30"/>
        </w:rPr>
      </w:pPr>
      <w:r>
        <w:rPr>
          <w:rFonts w:hint="eastAsia" w:ascii="仿宋" w:hAnsi="仿宋" w:eastAsia="仿宋" w:cs="仿宋"/>
          <w:sz w:val="30"/>
          <w:szCs w:val="30"/>
        </w:rPr>
        <w:t>完成1人次，分值4，得分4。</w:t>
      </w:r>
    </w:p>
    <w:p>
      <w:pPr>
        <w:numPr>
          <w:ilvl w:val="0"/>
          <w:numId w:val="6"/>
        </w:num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配置保健药箱，目标值大于等于50份，实际完成61份，分值4，</w:t>
      </w:r>
    </w:p>
    <w:p>
      <w:pPr>
        <w:numPr>
          <w:ilvl w:val="0"/>
          <w:numId w:val="0"/>
        </w:numPr>
        <w:spacing w:line="620" w:lineRule="exact"/>
        <w:rPr>
          <w:rFonts w:hint="eastAsia" w:ascii="仿宋" w:hAnsi="仿宋" w:eastAsia="仿宋" w:cs="仿宋"/>
          <w:sz w:val="30"/>
          <w:szCs w:val="30"/>
        </w:rPr>
      </w:pPr>
      <w:r>
        <w:rPr>
          <w:rFonts w:hint="eastAsia" w:ascii="仿宋" w:hAnsi="仿宋" w:eastAsia="仿宋" w:cs="仿宋"/>
          <w:sz w:val="30"/>
          <w:szCs w:val="30"/>
        </w:rPr>
        <w:t>得分4。</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2、质量指标</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)干部保健体检率，目标值大于等于70%，实际完成77.7%，分值4，</w:t>
      </w:r>
    </w:p>
    <w:p>
      <w:pPr>
        <w:spacing w:line="620" w:lineRule="exact"/>
        <w:rPr>
          <w:rFonts w:hint="eastAsia" w:ascii="仿宋" w:hAnsi="仿宋" w:eastAsia="仿宋" w:cs="仿宋"/>
          <w:sz w:val="30"/>
          <w:szCs w:val="30"/>
        </w:rPr>
      </w:pPr>
      <w:r>
        <w:rPr>
          <w:rFonts w:hint="eastAsia" w:ascii="仿宋" w:hAnsi="仿宋" w:eastAsia="仿宋" w:cs="仿宋"/>
          <w:sz w:val="30"/>
          <w:szCs w:val="30"/>
        </w:rPr>
        <w:t>得分4。</w:t>
      </w:r>
    </w:p>
    <w:p>
      <w:pPr>
        <w:numPr>
          <w:ilvl w:val="0"/>
          <w:numId w:val="7"/>
        </w:numPr>
        <w:spacing w:line="620" w:lineRule="exact"/>
        <w:ind w:leftChars="200"/>
        <w:rPr>
          <w:rFonts w:hint="eastAsia" w:ascii="仿宋" w:hAnsi="仿宋" w:eastAsia="仿宋" w:cs="仿宋"/>
          <w:sz w:val="30"/>
          <w:szCs w:val="30"/>
        </w:rPr>
      </w:pPr>
      <w:r>
        <w:rPr>
          <w:rFonts w:hint="eastAsia" w:ascii="仿宋" w:hAnsi="仿宋" w:eastAsia="仿宋" w:cs="仿宋"/>
          <w:sz w:val="30"/>
          <w:szCs w:val="30"/>
        </w:rPr>
        <w:t>干部市外复查接待率，目标值等于100%，实际完成100%，分值</w:t>
      </w:r>
    </w:p>
    <w:p>
      <w:pPr>
        <w:numPr>
          <w:ilvl w:val="0"/>
          <w:numId w:val="0"/>
        </w:numPr>
        <w:spacing w:line="620" w:lineRule="exact"/>
        <w:rPr>
          <w:rFonts w:hint="eastAsia" w:ascii="仿宋" w:hAnsi="仿宋" w:eastAsia="仿宋" w:cs="仿宋"/>
          <w:sz w:val="30"/>
          <w:szCs w:val="30"/>
        </w:rPr>
      </w:pPr>
      <w:r>
        <w:rPr>
          <w:rFonts w:hint="eastAsia" w:ascii="仿宋" w:hAnsi="仿宋" w:eastAsia="仿宋" w:cs="仿宋"/>
          <w:sz w:val="30"/>
          <w:szCs w:val="30"/>
        </w:rPr>
        <w:t>4，得分4。</w:t>
      </w:r>
    </w:p>
    <w:p>
      <w:pPr>
        <w:numPr>
          <w:ilvl w:val="0"/>
          <w:numId w:val="0"/>
        </w:numPr>
        <w:spacing w:line="620" w:lineRule="exact"/>
        <w:ind w:left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重大活动医疗保健任务完成率，目标值等于100%，实际完成100%，</w:t>
      </w:r>
    </w:p>
    <w:p>
      <w:pPr>
        <w:numPr>
          <w:ilvl w:val="0"/>
          <w:numId w:val="0"/>
        </w:numPr>
        <w:spacing w:line="620" w:lineRule="exact"/>
        <w:rPr>
          <w:rFonts w:hint="eastAsia" w:ascii="仿宋" w:hAnsi="仿宋" w:eastAsia="仿宋" w:cs="仿宋"/>
          <w:sz w:val="30"/>
          <w:szCs w:val="30"/>
        </w:rPr>
      </w:pPr>
      <w:r>
        <w:rPr>
          <w:rFonts w:hint="eastAsia" w:ascii="仿宋" w:hAnsi="仿宋" w:eastAsia="仿宋" w:cs="仿宋"/>
          <w:sz w:val="30"/>
          <w:szCs w:val="30"/>
        </w:rPr>
        <w:t>分值4，得分4。</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3、时效指标</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)整体工作完成时间，目标值2023年12月前，实际完成2023年</w:t>
      </w:r>
    </w:p>
    <w:p>
      <w:pPr>
        <w:spacing w:line="620" w:lineRule="exact"/>
        <w:rPr>
          <w:rFonts w:hint="eastAsia" w:ascii="仿宋" w:hAnsi="仿宋" w:eastAsia="仿宋" w:cs="仿宋"/>
          <w:sz w:val="30"/>
          <w:szCs w:val="30"/>
        </w:rPr>
      </w:pPr>
      <w:r>
        <w:rPr>
          <w:rFonts w:hint="eastAsia" w:ascii="仿宋" w:hAnsi="仿宋" w:eastAsia="仿宋" w:cs="仿宋"/>
          <w:sz w:val="30"/>
          <w:szCs w:val="30"/>
        </w:rPr>
        <w:t>11月，分值4，得分4。</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4、成本指标</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)人均干部保健体检成本，目标值小于等于2700元/次，实际完成</w:t>
      </w:r>
    </w:p>
    <w:p>
      <w:pPr>
        <w:spacing w:line="620" w:lineRule="exact"/>
        <w:rPr>
          <w:rFonts w:hint="eastAsia" w:ascii="仿宋" w:hAnsi="仿宋" w:eastAsia="仿宋" w:cs="仿宋"/>
          <w:sz w:val="30"/>
          <w:szCs w:val="30"/>
        </w:rPr>
      </w:pPr>
      <w:r>
        <w:rPr>
          <w:rFonts w:hint="eastAsia" w:ascii="仿宋" w:hAnsi="仿宋" w:eastAsia="仿宋" w:cs="仿宋"/>
          <w:sz w:val="30"/>
          <w:szCs w:val="30"/>
        </w:rPr>
        <w:t>2646.82元/次，分值4，得分4。</w:t>
      </w:r>
    </w:p>
    <w:p>
      <w:pPr>
        <w:numPr>
          <w:ilvl w:val="0"/>
          <w:numId w:val="8"/>
        </w:num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保健药箱配置成本，目标值小于等于300元/份，实际完成289.36</w:t>
      </w:r>
    </w:p>
    <w:p>
      <w:pPr>
        <w:numPr>
          <w:ilvl w:val="0"/>
          <w:numId w:val="0"/>
        </w:numPr>
        <w:spacing w:line="620" w:lineRule="exact"/>
        <w:rPr>
          <w:rFonts w:hint="eastAsia" w:ascii="仿宋" w:hAnsi="仿宋" w:eastAsia="仿宋" w:cs="仿宋"/>
          <w:sz w:val="30"/>
          <w:szCs w:val="30"/>
        </w:rPr>
      </w:pPr>
      <w:r>
        <w:rPr>
          <w:rFonts w:hint="eastAsia" w:ascii="仿宋" w:hAnsi="仿宋" w:eastAsia="仿宋" w:cs="仿宋"/>
          <w:sz w:val="30"/>
          <w:szCs w:val="30"/>
        </w:rPr>
        <w:t>元/份，分值7，得分7。</w:t>
      </w:r>
    </w:p>
    <w:p>
      <w:pPr>
        <w:numPr>
          <w:ilvl w:val="0"/>
          <w:numId w:val="8"/>
        </w:num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人均市外复查陪同出差成本，目标值小于等于1500元/日，实际</w:t>
      </w:r>
    </w:p>
    <w:p>
      <w:pPr>
        <w:numPr>
          <w:ilvl w:val="0"/>
          <w:numId w:val="0"/>
        </w:numPr>
        <w:spacing w:line="620" w:lineRule="exact"/>
        <w:rPr>
          <w:rFonts w:hint="eastAsia" w:ascii="仿宋" w:hAnsi="仿宋" w:eastAsia="仿宋" w:cs="仿宋"/>
          <w:sz w:val="30"/>
          <w:szCs w:val="30"/>
        </w:rPr>
      </w:pPr>
      <w:r>
        <w:rPr>
          <w:rFonts w:hint="eastAsia" w:ascii="仿宋" w:hAnsi="仿宋" w:eastAsia="仿宋" w:cs="仿宋"/>
          <w:sz w:val="30"/>
          <w:szCs w:val="30"/>
        </w:rPr>
        <w:t>完成1230元/日，分值7，得分7。</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(二) 效益指标完成情况</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、社会效益</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1)重大活动医疗保健水平有所提高，目标值良，实际完成良，分值</w:t>
      </w:r>
    </w:p>
    <w:p>
      <w:pPr>
        <w:spacing w:line="620" w:lineRule="exact"/>
        <w:rPr>
          <w:rFonts w:hint="eastAsia" w:ascii="仿宋" w:hAnsi="仿宋" w:eastAsia="仿宋" w:cs="仿宋"/>
          <w:sz w:val="30"/>
          <w:szCs w:val="30"/>
        </w:rPr>
      </w:pPr>
      <w:r>
        <w:rPr>
          <w:rFonts w:hint="eastAsia" w:ascii="仿宋" w:hAnsi="仿宋" w:eastAsia="仿宋" w:cs="仿宋"/>
          <w:sz w:val="30"/>
          <w:szCs w:val="30"/>
        </w:rPr>
        <w:t>15，得分15。</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、可持续影响</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1)提升体检人数和体检率，目标值长期，实际完成长期，分值15，</w:t>
      </w:r>
    </w:p>
    <w:p>
      <w:pPr>
        <w:spacing w:line="620" w:lineRule="exact"/>
        <w:rPr>
          <w:rFonts w:hint="eastAsia" w:ascii="仿宋" w:hAnsi="仿宋" w:eastAsia="仿宋" w:cs="仿宋"/>
          <w:sz w:val="30"/>
          <w:szCs w:val="30"/>
        </w:rPr>
      </w:pPr>
      <w:r>
        <w:rPr>
          <w:rFonts w:hint="eastAsia" w:ascii="仿宋" w:hAnsi="仿宋" w:eastAsia="仿宋" w:cs="仿宋"/>
          <w:sz w:val="30"/>
          <w:szCs w:val="30"/>
        </w:rPr>
        <w:t>得分15。</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(三) 满意度指标完成情况</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、服务对象满意度</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1)主管部门满意度，目标值大于等于98%，实际完成100%，分值5，</w:t>
      </w:r>
    </w:p>
    <w:p>
      <w:pPr>
        <w:spacing w:line="620" w:lineRule="exact"/>
        <w:rPr>
          <w:rFonts w:hint="eastAsia" w:ascii="仿宋" w:hAnsi="仿宋" w:eastAsia="仿宋" w:cs="仿宋"/>
          <w:sz w:val="30"/>
          <w:szCs w:val="30"/>
        </w:rPr>
      </w:pPr>
      <w:r>
        <w:rPr>
          <w:rFonts w:hint="eastAsia" w:ascii="仿宋" w:hAnsi="仿宋" w:eastAsia="仿宋" w:cs="仿宋"/>
          <w:sz w:val="30"/>
          <w:szCs w:val="30"/>
        </w:rPr>
        <w:t>得分5。</w:t>
      </w:r>
    </w:p>
    <w:p>
      <w:pPr>
        <w:numPr>
          <w:ilvl w:val="0"/>
          <w:numId w:val="9"/>
        </w:num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保健对象满意度，目标值大于等于98%，实际完成100%，分值5，</w:t>
      </w:r>
    </w:p>
    <w:p>
      <w:pPr>
        <w:numPr>
          <w:ilvl w:val="0"/>
          <w:numId w:val="0"/>
        </w:numPr>
        <w:spacing w:line="620" w:lineRule="exact"/>
        <w:rPr>
          <w:rFonts w:hint="eastAsia" w:ascii="仿宋" w:hAnsi="仿宋" w:eastAsia="仿宋" w:cs="仿宋"/>
          <w:sz w:val="30"/>
          <w:szCs w:val="30"/>
        </w:rPr>
      </w:pPr>
      <w:r>
        <w:rPr>
          <w:rFonts w:hint="eastAsia" w:ascii="仿宋" w:hAnsi="仿宋" w:eastAsia="仿宋" w:cs="仿宋"/>
          <w:sz w:val="30"/>
          <w:szCs w:val="30"/>
        </w:rPr>
        <w:t>得分5。</w:t>
      </w:r>
    </w:p>
    <w:p>
      <w:pPr>
        <w:spacing w:line="62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（四）自评得分情况</w:t>
      </w:r>
    </w:p>
    <w:p>
      <w:pPr>
        <w:spacing w:line="620" w:lineRule="exact"/>
        <w:ind w:firstLine="640"/>
        <w:rPr>
          <w:rFonts w:hint="eastAsia" w:ascii="仿宋" w:hAnsi="仿宋" w:eastAsia="仿宋" w:cs="仿宋"/>
          <w:sz w:val="30"/>
          <w:szCs w:val="30"/>
        </w:rPr>
      </w:pPr>
      <w:r>
        <w:rPr>
          <w:rFonts w:hint="eastAsia" w:ascii="仿宋" w:hAnsi="仿宋" w:eastAsia="仿宋" w:cs="仿宋"/>
          <w:sz w:val="30"/>
          <w:szCs w:val="30"/>
        </w:rPr>
        <w:t>本项目绩效自评得分97.59分，等级为A。</w:t>
      </w:r>
    </w:p>
    <w:p>
      <w:pPr>
        <w:numPr>
          <w:ilvl w:val="0"/>
          <w:numId w:val="0"/>
        </w:numPr>
        <w:spacing w:line="240" w:lineRule="auto"/>
        <w:ind w:leftChars="0" w:firstLine="643" w:firstLineChars="200"/>
        <w:rPr>
          <w:rFonts w:ascii="仿宋" w:hAnsi="仿宋" w:eastAsia="仿宋"/>
          <w:b/>
          <w:sz w:val="32"/>
          <w:szCs w:val="32"/>
        </w:rPr>
      </w:pPr>
      <w:r>
        <w:rPr>
          <w:rFonts w:hint="eastAsia" w:ascii="仿宋" w:hAnsi="仿宋" w:eastAsia="仿宋"/>
          <w:b/>
          <w:sz w:val="32"/>
          <w:szCs w:val="32"/>
          <w:lang w:val="en-US" w:eastAsia="zh-CN"/>
        </w:rPr>
        <w:t>四、</w:t>
      </w:r>
      <w:r>
        <w:rPr>
          <w:rFonts w:hint="eastAsia" w:ascii="仿宋" w:hAnsi="仿宋" w:eastAsia="仿宋"/>
          <w:b/>
          <w:sz w:val="32"/>
          <w:szCs w:val="32"/>
        </w:rPr>
        <w:t>存在问题</w:t>
      </w:r>
    </w:p>
    <w:p>
      <w:pPr>
        <w:keepNext w:val="0"/>
        <w:keepLines w:val="0"/>
        <w:pageBreakBefore w:val="0"/>
        <w:widowControl/>
        <w:kinsoku/>
        <w:wordWrap/>
        <w:overflowPunct/>
        <w:topLinePunct w:val="0"/>
        <w:autoSpaceDE/>
        <w:autoSpaceDN/>
        <w:bidi w:val="0"/>
        <w:adjustRightInd/>
        <w:snapToGrid/>
        <w:ind w:left="638" w:leftChars="304" w:firstLine="81" w:firstLineChars="27"/>
        <w:jc w:val="left"/>
        <w:textAlignment w:val="auto"/>
        <w:rPr>
          <w:rFonts w:ascii="仿宋" w:hAnsi="仿宋" w:eastAsia="仿宋" w:cs="仿宋"/>
          <w:spacing w:val="1"/>
          <w:sz w:val="30"/>
          <w:szCs w:val="30"/>
        </w:rPr>
      </w:pPr>
      <w:r>
        <w:rPr>
          <w:rFonts w:ascii="仿宋" w:hAnsi="仿宋" w:eastAsia="仿宋" w:cs="仿宋"/>
          <w:spacing w:val="1"/>
          <w:sz w:val="30"/>
          <w:szCs w:val="30"/>
        </w:rPr>
        <w:t>通过自查，我单位发现项目实施过程尚有不足之处，具体如下：</w:t>
      </w:r>
      <w:r>
        <w:rPr>
          <w:rFonts w:ascii="仿宋" w:hAnsi="仿宋" w:eastAsia="仿宋" w:cs="仿宋"/>
          <w:spacing w:val="1"/>
          <w:sz w:val="30"/>
          <w:szCs w:val="30"/>
        </w:rPr>
        <w:cr/>
      </w:r>
      <w:r>
        <w:rPr>
          <w:rFonts w:hint="eastAsia" w:ascii="仿宋" w:hAnsi="仿宋" w:eastAsia="仿宋" w:cs="仿宋"/>
          <w:spacing w:val="1"/>
          <w:sz w:val="30"/>
          <w:szCs w:val="30"/>
          <w:lang w:val="en-US" w:eastAsia="zh-CN"/>
        </w:rPr>
        <w:t>1.</w:t>
      </w:r>
      <w:r>
        <w:rPr>
          <w:rFonts w:ascii="仿宋" w:hAnsi="仿宋" w:eastAsia="仿宋" w:cs="仿宋"/>
          <w:spacing w:val="1"/>
          <w:sz w:val="30"/>
          <w:szCs w:val="30"/>
        </w:rPr>
        <w:t>将全面开展设置绩效指标权重的工作，对产出、效益、满意度</w:t>
      </w:r>
    </w:p>
    <w:p>
      <w:pPr>
        <w:keepNext w:val="0"/>
        <w:keepLines w:val="0"/>
        <w:pageBreakBefore w:val="0"/>
        <w:widowControl/>
        <w:kinsoku/>
        <w:wordWrap/>
        <w:overflowPunct/>
        <w:topLinePunct w:val="0"/>
        <w:autoSpaceDE/>
        <w:autoSpaceDN/>
        <w:bidi w:val="0"/>
        <w:adjustRightInd/>
        <w:snapToGrid/>
        <w:jc w:val="left"/>
        <w:textAlignment w:val="auto"/>
        <w:rPr>
          <w:rFonts w:ascii="仿宋" w:hAnsi="仿宋" w:eastAsia="仿宋" w:cs="仿宋"/>
          <w:spacing w:val="1"/>
          <w:sz w:val="30"/>
          <w:szCs w:val="30"/>
        </w:rPr>
      </w:pPr>
      <w:r>
        <w:rPr>
          <w:rFonts w:ascii="仿宋" w:hAnsi="仿宋" w:eastAsia="仿宋" w:cs="仿宋"/>
          <w:spacing w:val="1"/>
          <w:sz w:val="30"/>
          <w:szCs w:val="30"/>
        </w:rPr>
        <w:t>指标对应设置权重，明确工作的侧重点，加强绩效全管理过程。</w:t>
      </w:r>
    </w:p>
    <w:p>
      <w:pPr>
        <w:keepNext w:val="0"/>
        <w:keepLines w:val="0"/>
        <w:pageBreakBefore w:val="0"/>
        <w:widowControl/>
        <w:kinsoku/>
        <w:wordWrap/>
        <w:overflowPunct/>
        <w:topLinePunct w:val="0"/>
        <w:autoSpaceDE/>
        <w:autoSpaceDN/>
        <w:bidi w:val="0"/>
        <w:adjustRightInd/>
        <w:snapToGrid/>
        <w:ind w:left="638" w:leftChars="304" w:firstLine="81" w:firstLineChars="27"/>
        <w:jc w:val="left"/>
        <w:textAlignment w:val="auto"/>
        <w:rPr>
          <w:rFonts w:ascii="仿宋" w:hAnsi="仿宋" w:eastAsia="仿宋" w:cs="仿宋"/>
          <w:spacing w:val="1"/>
          <w:sz w:val="30"/>
          <w:szCs w:val="30"/>
        </w:rPr>
      </w:pPr>
      <w:r>
        <w:rPr>
          <w:rFonts w:hint="eastAsia" w:ascii="仿宋" w:hAnsi="仿宋" w:eastAsia="仿宋" w:cs="仿宋"/>
          <w:spacing w:val="1"/>
          <w:sz w:val="30"/>
          <w:szCs w:val="30"/>
          <w:lang w:val="en-US" w:eastAsia="zh-CN"/>
        </w:rPr>
        <w:t>2.</w:t>
      </w:r>
      <w:r>
        <w:rPr>
          <w:rFonts w:ascii="仿宋" w:hAnsi="仿宋" w:eastAsia="仿宋" w:cs="仿宋"/>
          <w:spacing w:val="1"/>
          <w:sz w:val="30"/>
          <w:szCs w:val="30"/>
        </w:rPr>
        <w:t>将严格履行绩效管理程序，通过制度建设、创新机制、规范管</w:t>
      </w:r>
    </w:p>
    <w:p>
      <w:pPr>
        <w:keepNext w:val="0"/>
        <w:keepLines w:val="0"/>
        <w:pageBreakBefore w:val="0"/>
        <w:widowControl/>
        <w:kinsoku/>
        <w:wordWrap/>
        <w:overflowPunct/>
        <w:topLinePunct w:val="0"/>
        <w:autoSpaceDE/>
        <w:autoSpaceDN/>
        <w:bidi w:val="0"/>
        <w:adjustRightInd/>
        <w:snapToGrid/>
        <w:ind w:left="644" w:hanging="604" w:hangingChars="200"/>
        <w:jc w:val="left"/>
        <w:textAlignment w:val="auto"/>
        <w:rPr>
          <w:rFonts w:ascii="仿宋" w:hAnsi="仿宋" w:eastAsia="仿宋" w:cs="仿宋"/>
          <w:spacing w:val="1"/>
          <w:sz w:val="30"/>
          <w:szCs w:val="30"/>
        </w:rPr>
      </w:pPr>
      <w:r>
        <w:rPr>
          <w:rFonts w:ascii="仿宋" w:hAnsi="仿宋" w:eastAsia="仿宋" w:cs="仿宋"/>
          <w:spacing w:val="1"/>
          <w:sz w:val="30"/>
          <w:szCs w:val="30"/>
        </w:rPr>
        <w:t>理，进一步完善现有的管理办法，逐步建立管理规范，运行有序的管</w:t>
      </w:r>
    </w:p>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eastAsia="Times New Roman" w:cs="Times New Roman"/>
          <w:kern w:val="0"/>
          <w:sz w:val="30"/>
          <w:szCs w:val="30"/>
        </w:rPr>
      </w:pPr>
      <w:r>
        <w:rPr>
          <w:rFonts w:ascii="仿宋" w:hAnsi="仿宋" w:eastAsia="仿宋" w:cs="仿宋"/>
          <w:spacing w:val="1"/>
          <w:sz w:val="30"/>
          <w:szCs w:val="30"/>
        </w:rPr>
        <w:t>理机制。</w:t>
      </w:r>
    </w:p>
    <w:p>
      <w:pPr>
        <w:pStyle w:val="4"/>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hint="eastAsia" w:ascii="仿宋" w:hAnsi="仿宋" w:eastAsia="仿宋" w:cs="仿宋"/>
          <w:kern w:val="0"/>
          <w:sz w:val="32"/>
          <w:szCs w:val="32"/>
        </w:rPr>
      </w:pPr>
      <w:r>
        <w:rPr>
          <w:rFonts w:ascii="fang_song_gb2312" w:hAnsi="fang_song_gb2312" w:eastAsia="fang_song_gb2312" w:cs="fang_song_gb2312"/>
          <w:b/>
          <w:bCs/>
          <w:kern w:val="0"/>
          <w:sz w:val="27"/>
          <w:szCs w:val="27"/>
        </w:rPr>
        <w:t xml:space="preserve">  </w:t>
      </w:r>
      <w:r>
        <w:rPr>
          <w:rFonts w:hint="eastAsia" w:ascii="仿宋" w:hAnsi="仿宋" w:eastAsia="仿宋" w:cs="仿宋"/>
          <w:b/>
          <w:bCs/>
          <w:kern w:val="0"/>
          <w:sz w:val="32"/>
          <w:szCs w:val="32"/>
        </w:rPr>
        <w:t>  一、财政拨款收入：</w:t>
      </w:r>
      <w:r>
        <w:rPr>
          <w:rFonts w:hint="eastAsia" w:ascii="仿宋" w:hAnsi="仿宋" w:eastAsia="仿宋" w:cs="仿宋"/>
          <w:kern w:val="0"/>
          <w:sz w:val="32"/>
          <w:szCs w:val="32"/>
        </w:rPr>
        <w:t>从同级财政部门取得的各类财政拨款，包括一般公共预算财政拨款、政府性基金预算财政拨款、国有资本经营预算财政拨款。</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二、上级补助收入：</w:t>
      </w:r>
      <w:r>
        <w:rPr>
          <w:rFonts w:hint="eastAsia" w:ascii="仿宋" w:hAnsi="仿宋" w:eastAsia="仿宋" w:cs="仿宋"/>
          <w:kern w:val="0"/>
          <w:sz w:val="32"/>
          <w:szCs w:val="32"/>
        </w:rPr>
        <w:t>指事业单位从主管部门和上级单位取得的非财政补助收入。</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三、财政专户管理教育收费：</w:t>
      </w:r>
      <w:r>
        <w:rPr>
          <w:rFonts w:hint="eastAsia" w:ascii="仿宋" w:hAnsi="仿宋" w:eastAsia="仿宋" w:cs="仿宋"/>
          <w:kern w:val="0"/>
          <w:sz w:val="32"/>
          <w:szCs w:val="32"/>
        </w:rPr>
        <w:t>指缴入财政专户、实行专项管理的高中以上学费、住宿费、高校委托培养费、函大、电大、夜大及短训班培训费等教育收费。</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四、事业收入：</w:t>
      </w:r>
      <w:r>
        <w:rPr>
          <w:rFonts w:hint="eastAsia" w:ascii="仿宋" w:hAnsi="仿宋" w:eastAsia="仿宋" w:cs="仿宋"/>
          <w:kern w:val="0"/>
          <w:sz w:val="32"/>
          <w:szCs w:val="32"/>
        </w:rPr>
        <w:t>指事业单位开展专业业务活动及其辅助活动取得的收入。</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五、经营收入：</w:t>
      </w:r>
      <w:r>
        <w:rPr>
          <w:rFonts w:hint="eastAsia" w:ascii="仿宋" w:hAnsi="仿宋" w:eastAsia="仿宋" w:cs="仿宋"/>
          <w:kern w:val="0"/>
          <w:sz w:val="32"/>
          <w:szCs w:val="32"/>
        </w:rPr>
        <w:t>指事业单位在专业业务活动及其辅助活动之外开展非独立核算经营活动取得的收入。</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六、附属单位上缴收入：</w:t>
      </w:r>
      <w:r>
        <w:rPr>
          <w:rFonts w:hint="eastAsia" w:ascii="仿宋" w:hAnsi="仿宋" w:eastAsia="仿宋" w:cs="仿宋"/>
          <w:kern w:val="0"/>
          <w:sz w:val="32"/>
          <w:szCs w:val="32"/>
        </w:rPr>
        <w:t>指事业单位取得附属独立核算单位按照有关规定上缴的收入。</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七、其他收入：</w:t>
      </w:r>
      <w:r>
        <w:rPr>
          <w:rFonts w:hint="eastAsia" w:ascii="仿宋" w:hAnsi="仿宋" w:eastAsia="仿宋" w:cs="仿宋"/>
          <w:kern w:val="0"/>
          <w:sz w:val="32"/>
          <w:szCs w:val="32"/>
        </w:rPr>
        <w:t>取得的除上述“财政拨款收入”、“上级补助收入”、“事业收入”、“经营收入”、“附属单位上缴收入”等以外的各项收入。</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八、使用非财政拨款结余和专用结余：</w:t>
      </w:r>
      <w:r>
        <w:rPr>
          <w:rFonts w:hint="eastAsia" w:ascii="仿宋" w:hAnsi="仿宋" w:eastAsia="仿宋" w:cs="仿宋"/>
          <w:kern w:val="0"/>
          <w:sz w:val="32"/>
          <w:szCs w:val="32"/>
        </w:rPr>
        <w:t>指事业单位按照预算管理要求使用非财政拨款结余和专用结余弥补当年收支差额的数额。</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九、年初结转和结余：</w:t>
      </w:r>
      <w:r>
        <w:rPr>
          <w:rFonts w:hint="eastAsia" w:ascii="仿宋" w:hAnsi="仿宋" w:eastAsia="仿宋" w:cs="仿宋"/>
          <w:kern w:val="0"/>
          <w:sz w:val="32"/>
          <w:szCs w:val="32"/>
        </w:rPr>
        <w:t>指单位上年结转本年使用的基本支出结转、项目支出结转和结余、经营结余。</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十、结余分配：</w:t>
      </w:r>
      <w:r>
        <w:rPr>
          <w:rFonts w:hint="eastAsia" w:ascii="仿宋" w:hAnsi="仿宋" w:eastAsia="仿宋" w:cs="仿宋"/>
          <w:kern w:val="0"/>
          <w:sz w:val="32"/>
          <w:szCs w:val="32"/>
        </w:rPr>
        <w:t>指事业单位按规定缴纳企业所得税以及从非财政拨款结余或经营结余中提取各类结余的情况。</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十一、年末结转和结余资金：</w:t>
      </w:r>
      <w:r>
        <w:rPr>
          <w:rFonts w:hint="eastAsia" w:ascii="仿宋" w:hAnsi="仿宋" w:eastAsia="仿宋" w:cs="仿宋"/>
          <w:kern w:val="0"/>
          <w:sz w:val="32"/>
          <w:szCs w:val="32"/>
        </w:rPr>
        <w:t>指单位结转下年的基本支出结转、项目支出结转和结余、经营结余。</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十二、基本支出：</w:t>
      </w:r>
      <w:r>
        <w:rPr>
          <w:rFonts w:hint="eastAsia" w:ascii="仿宋" w:hAnsi="仿宋" w:eastAsia="仿宋" w:cs="仿宋"/>
          <w:kern w:val="0"/>
          <w:sz w:val="32"/>
          <w:szCs w:val="32"/>
        </w:rPr>
        <w:t>指为保障机构正常运转、完成日常工作任务所发生的支出，包括人员经费和公用经费。</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十三、项目支出：</w:t>
      </w:r>
      <w:r>
        <w:rPr>
          <w:rFonts w:hint="eastAsia" w:ascii="仿宋" w:hAnsi="仿宋" w:eastAsia="仿宋" w:cs="仿宋"/>
          <w:kern w:val="0"/>
          <w:sz w:val="32"/>
          <w:szCs w:val="32"/>
        </w:rPr>
        <w:t>指在为完成特定的工作任务和事业发展目标所发生的支出。</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十四、上缴上级支出：</w:t>
      </w:r>
      <w:r>
        <w:rPr>
          <w:rFonts w:hint="eastAsia" w:ascii="仿宋" w:hAnsi="仿宋" w:eastAsia="仿宋" w:cs="仿宋"/>
          <w:kern w:val="0"/>
          <w:sz w:val="32"/>
          <w:szCs w:val="32"/>
        </w:rPr>
        <w:t>指事业单位按照财政部门和主管部门的规定上缴上级单位的支出。</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十五、经营支出：</w:t>
      </w:r>
      <w:r>
        <w:rPr>
          <w:rFonts w:hint="eastAsia" w:ascii="仿宋" w:hAnsi="仿宋" w:eastAsia="仿宋" w:cs="仿宋"/>
          <w:kern w:val="0"/>
          <w:sz w:val="32"/>
          <w:szCs w:val="32"/>
        </w:rPr>
        <w:t>指事业单位在专业业务活动及其辅助活动之外开展非独立核算经营活动发生的支出。</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十六、对附属单位补助支出：</w:t>
      </w:r>
      <w:r>
        <w:rPr>
          <w:rFonts w:hint="eastAsia" w:ascii="仿宋" w:hAnsi="仿宋" w:eastAsia="仿宋" w:cs="仿宋"/>
          <w:kern w:val="0"/>
          <w:sz w:val="32"/>
          <w:szCs w:val="32"/>
        </w:rPr>
        <w:t>指事业单位用财政拨款收入之外的收入对附属单位补助发生的支出。</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十七、“三公”经费：</w:t>
      </w:r>
      <w:r>
        <w:rPr>
          <w:rFonts w:hint="eastAsia" w:ascii="仿宋" w:hAnsi="仿宋" w:eastAsia="仿宋" w:cs="仿宋"/>
          <w:kern w:val="0"/>
          <w:sz w:val="32"/>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十八、机构运行经费：</w:t>
      </w:r>
      <w:r>
        <w:rPr>
          <w:rFonts w:hint="eastAsia" w:ascii="仿宋" w:hAnsi="仿宋" w:eastAsia="仿宋" w:cs="仿宋"/>
          <w:kern w:val="0"/>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4"/>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    联系人：</w:t>
      </w:r>
      <w:r>
        <w:rPr>
          <w:rFonts w:hint="eastAsia" w:ascii="仿宋" w:hAnsi="仿宋" w:eastAsia="仿宋" w:cs="仿宋"/>
          <w:kern w:val="0"/>
          <w:sz w:val="32"/>
          <w:szCs w:val="32"/>
          <w:u w:val="single"/>
        </w:rPr>
        <w:t xml:space="preserve">何之媛 </w:t>
      </w:r>
      <w:r>
        <w:rPr>
          <w:rFonts w:hint="eastAsia" w:ascii="仿宋" w:hAnsi="仿宋" w:eastAsia="仿宋" w:cs="仿宋"/>
          <w:kern w:val="0"/>
          <w:sz w:val="32"/>
          <w:szCs w:val="32"/>
        </w:rPr>
        <w:t>          联系电话：0478-8762014</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单位决算表</w:t>
      </w:r>
    </w:p>
    <w:p>
      <w:pPr>
        <w:widowControl/>
        <w:spacing w:before="240" w:after="240"/>
        <w:jc w:val="center"/>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见附件。</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pPr>
        <w:adjustRightInd w:val="0"/>
        <w:snapToGrid w:val="0"/>
        <w:rPr>
          <w:rFonts w:ascii="宋体" w:hAnsi="宋体"/>
          <w:b/>
          <w:sz w:val="32"/>
          <w:szCs w:val="32"/>
        </w:rPr>
      </w:pPr>
    </w:p>
    <w:p>
      <w:pPr>
        <w:adjustRightInd w:val="0"/>
        <w:snapToGrid w:val="0"/>
        <w:rPr>
          <w:rFonts w:ascii="宋体" w:hAnsi="宋体"/>
          <w:b/>
          <w:sz w:val="32"/>
          <w:szCs w:val="32"/>
        </w:rPr>
      </w:pPr>
    </w:p>
    <w:p>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fang_song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kai_ti_gb2312">
    <w:altName w:val="Segoe Print"/>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24</w:t>
    </w:r>
    <w:r>
      <w:rPr>
        <w:lang w:val="zh-CN"/>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EF8F71"/>
    <w:multiLevelType w:val="singleLevel"/>
    <w:tmpl w:val="C9EF8F71"/>
    <w:lvl w:ilvl="0" w:tentative="0">
      <w:start w:val="3"/>
      <w:numFmt w:val="decimal"/>
      <w:lvlText w:val="%1)"/>
      <w:lvlJc w:val="left"/>
      <w:pPr>
        <w:tabs>
          <w:tab w:val="left" w:pos="312"/>
        </w:tabs>
      </w:pPr>
    </w:lvl>
  </w:abstractNum>
  <w:abstractNum w:abstractNumId="1">
    <w:nsid w:val="FBB8592C"/>
    <w:multiLevelType w:val="singleLevel"/>
    <w:tmpl w:val="FBB8592C"/>
    <w:lvl w:ilvl="0" w:tentative="0">
      <w:start w:val="1"/>
      <w:numFmt w:val="chineseCounting"/>
      <w:suff w:val="nothing"/>
      <w:lvlText w:val="（%1）"/>
      <w:lvlJc w:val="left"/>
      <w:rPr>
        <w:rFonts w:hint="eastAsia"/>
      </w:rPr>
    </w:lvl>
  </w:abstractNum>
  <w:abstractNum w:abstractNumId="2">
    <w:nsid w:val="07360648"/>
    <w:multiLevelType w:val="singleLevel"/>
    <w:tmpl w:val="07360648"/>
    <w:lvl w:ilvl="0" w:tentative="0">
      <w:start w:val="1"/>
      <w:numFmt w:val="decimal"/>
      <w:suff w:val="nothing"/>
      <w:lvlText w:val="%1．"/>
      <w:lvlJc w:val="left"/>
      <w:pPr>
        <w:ind w:left="426" w:leftChars="0" w:firstLine="0" w:firstLineChars="0"/>
      </w:pPr>
    </w:lvl>
  </w:abstractNum>
  <w:abstractNum w:abstractNumId="3">
    <w:nsid w:val="0CF258D6"/>
    <w:multiLevelType w:val="singleLevel"/>
    <w:tmpl w:val="0CF258D6"/>
    <w:lvl w:ilvl="0" w:tentative="0">
      <w:start w:val="2"/>
      <w:numFmt w:val="chineseCounting"/>
      <w:suff w:val="nothing"/>
      <w:lvlText w:val="（%1）"/>
      <w:lvlJc w:val="left"/>
      <w:rPr>
        <w:rFonts w:hint="eastAsia"/>
      </w:rPr>
    </w:lvl>
  </w:abstractNum>
  <w:abstractNum w:abstractNumId="4">
    <w:nsid w:val="38D1385B"/>
    <w:multiLevelType w:val="singleLevel"/>
    <w:tmpl w:val="38D1385B"/>
    <w:lvl w:ilvl="0" w:tentative="0">
      <w:start w:val="1"/>
      <w:numFmt w:val="decimal"/>
      <w:suff w:val="nothing"/>
      <w:lvlText w:val="%1．"/>
      <w:lvlJc w:val="left"/>
    </w:lvl>
  </w:abstractNum>
  <w:abstractNum w:abstractNumId="5">
    <w:nsid w:val="42A395F5"/>
    <w:multiLevelType w:val="singleLevel"/>
    <w:tmpl w:val="42A395F5"/>
    <w:lvl w:ilvl="0" w:tentative="0">
      <w:start w:val="1"/>
      <w:numFmt w:val="chineseCounting"/>
      <w:suff w:val="nothing"/>
      <w:lvlText w:val="（%1）"/>
      <w:lvlJc w:val="left"/>
      <w:pPr>
        <w:ind w:left="630" w:leftChars="0" w:firstLine="0" w:firstLineChars="0"/>
      </w:pPr>
      <w:rPr>
        <w:rFonts w:hint="eastAsia"/>
      </w:rPr>
    </w:lvl>
  </w:abstractNum>
  <w:abstractNum w:abstractNumId="6">
    <w:nsid w:val="59D58FAD"/>
    <w:multiLevelType w:val="singleLevel"/>
    <w:tmpl w:val="59D58FAD"/>
    <w:lvl w:ilvl="0" w:tentative="0">
      <w:start w:val="2"/>
      <w:numFmt w:val="decimal"/>
      <w:lvlText w:val="%1)"/>
      <w:lvlJc w:val="left"/>
      <w:pPr>
        <w:tabs>
          <w:tab w:val="left" w:pos="312"/>
        </w:tabs>
      </w:pPr>
    </w:lvl>
  </w:abstractNum>
  <w:abstractNum w:abstractNumId="7">
    <w:nsid w:val="5D7FF2CE"/>
    <w:multiLevelType w:val="singleLevel"/>
    <w:tmpl w:val="5D7FF2CE"/>
    <w:lvl w:ilvl="0" w:tentative="0">
      <w:start w:val="2"/>
      <w:numFmt w:val="decimal"/>
      <w:suff w:val="nothing"/>
      <w:lvlText w:val="%1）"/>
      <w:lvlJc w:val="left"/>
    </w:lvl>
  </w:abstractNum>
  <w:abstractNum w:abstractNumId="8">
    <w:nsid w:val="77635C57"/>
    <w:multiLevelType w:val="singleLevel"/>
    <w:tmpl w:val="77635C57"/>
    <w:lvl w:ilvl="0" w:tentative="0">
      <w:start w:val="2"/>
      <w:numFmt w:val="decimal"/>
      <w:lvlText w:val="%1)"/>
      <w:lvlJc w:val="left"/>
      <w:pPr>
        <w:tabs>
          <w:tab w:val="left" w:pos="312"/>
        </w:tabs>
      </w:p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wZmI2ZDIzOGU5ZDE0N2JjNjZhMzdiZmY0YjMyYWE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7306555"/>
    <w:rsid w:val="0ADE5F6A"/>
    <w:rsid w:val="1C0A51E7"/>
    <w:rsid w:val="2C4604BD"/>
    <w:rsid w:val="2F1C0726"/>
    <w:rsid w:val="31330306"/>
    <w:rsid w:val="45F10E80"/>
    <w:rsid w:val="47244C29"/>
    <w:rsid w:val="50B52E40"/>
    <w:rsid w:val="52457712"/>
    <w:rsid w:val="56002281"/>
    <w:rsid w:val="627769E3"/>
    <w:rsid w:val="7648248C"/>
    <w:rsid w:val="7D9D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qFormat/>
    <w:uiPriority w:val="0"/>
    <w:pPr>
      <w:keepNext/>
      <w:keepLines/>
      <w:spacing w:before="260" w:after="260" w:line="416" w:lineRule="auto"/>
      <w:outlineLvl w:val="2"/>
    </w:pPr>
    <w:rPr>
      <w:b/>
      <w:bCs/>
      <w:sz w:val="32"/>
      <w:szCs w:val="32"/>
    </w:rPr>
  </w:style>
  <w:style w:type="paragraph" w:styleId="6">
    <w:name w:val="heading 4"/>
    <w:basedOn w:val="1"/>
    <w:next w:val="1"/>
    <w:link w:val="28"/>
    <w:qFormat/>
    <w:uiPriority w:val="0"/>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7">
    <w:name w:val="toc 7"/>
    <w:basedOn w:val="1"/>
    <w:next w:val="1"/>
    <w:qFormat/>
    <w:uiPriority w:val="0"/>
    <w:pPr>
      <w:ind w:left="1260"/>
      <w:jc w:val="left"/>
    </w:pPr>
    <w:rPr>
      <w:sz w:val="20"/>
      <w:szCs w:val="20"/>
    </w:rPr>
  </w:style>
  <w:style w:type="paragraph" w:styleId="8">
    <w:name w:val="Document Map"/>
    <w:basedOn w:val="1"/>
    <w:qFormat/>
    <w:uiPriority w:val="0"/>
    <w:pPr>
      <w:shd w:val="clear" w:color="auto" w:fill="000080"/>
    </w:pPr>
  </w:style>
  <w:style w:type="paragraph" w:styleId="9">
    <w:name w:val="Body Text"/>
    <w:basedOn w:val="1"/>
    <w:next w:val="10"/>
    <w:unhideWhenUsed/>
    <w:qFormat/>
    <w:uiPriority w:val="0"/>
    <w:pPr>
      <w:spacing w:after="120"/>
    </w:pPr>
    <w:rPr>
      <w:rFonts w:hint="default" w:ascii="Times New Roman" w:hAnsi="Times New Roman" w:eastAsia="宋体" w:cs="Times New Roman"/>
      <w:sz w:val="24"/>
      <w:szCs w:val="24"/>
    </w:rPr>
  </w:style>
  <w:style w:type="paragraph" w:styleId="10">
    <w:name w:val="Title"/>
    <w:basedOn w:val="1"/>
    <w:next w:val="1"/>
    <w:qFormat/>
    <w:uiPriority w:val="0"/>
    <w:pPr>
      <w:spacing w:before="240" w:after="60"/>
      <w:jc w:val="center"/>
      <w:textAlignment w:val="baseline"/>
    </w:pPr>
    <w:rPr>
      <w:rFonts w:ascii="Cambria" w:hAnsi="Cambria"/>
      <w:b/>
      <w:bCs/>
      <w:sz w:val="32"/>
      <w:szCs w:val="32"/>
    </w:rPr>
  </w:style>
  <w:style w:type="paragraph" w:styleId="11">
    <w:name w:val="Body Text Indent"/>
    <w:basedOn w:val="1"/>
    <w:unhideWhenUsed/>
    <w:qFormat/>
    <w:uiPriority w:val="0"/>
    <w:pPr>
      <w:spacing w:after="120"/>
      <w:ind w:left="420" w:leftChars="200"/>
    </w:pPr>
    <w:rPr>
      <w:rFonts w:hint="default"/>
      <w:sz w:val="24"/>
      <w:szCs w:val="24"/>
    </w:rPr>
  </w:style>
  <w:style w:type="paragraph" w:styleId="12">
    <w:name w:val="toc 5"/>
    <w:basedOn w:val="1"/>
    <w:next w:val="1"/>
    <w:qFormat/>
    <w:uiPriority w:val="0"/>
    <w:pPr>
      <w:ind w:left="840"/>
      <w:jc w:val="left"/>
    </w:pPr>
    <w:rPr>
      <w:sz w:val="20"/>
      <w:szCs w:val="20"/>
    </w:rPr>
  </w:style>
  <w:style w:type="paragraph" w:styleId="13">
    <w:name w:val="toc 3"/>
    <w:basedOn w:val="1"/>
    <w:next w:val="1"/>
    <w:qFormat/>
    <w:uiPriority w:val="0"/>
    <w:pPr>
      <w:adjustRightInd w:val="0"/>
      <w:snapToGrid w:val="0"/>
      <w:spacing w:line="360" w:lineRule="auto"/>
      <w:ind w:firstLine="400" w:firstLineChars="400"/>
      <w:jc w:val="left"/>
    </w:pPr>
    <w:rPr>
      <w:sz w:val="24"/>
      <w:szCs w:val="20"/>
    </w:rPr>
  </w:style>
  <w:style w:type="paragraph" w:styleId="14">
    <w:name w:val="toc 8"/>
    <w:basedOn w:val="1"/>
    <w:next w:val="1"/>
    <w:qFormat/>
    <w:uiPriority w:val="0"/>
    <w:pPr>
      <w:ind w:left="1470"/>
      <w:jc w:val="left"/>
    </w:pPr>
    <w:rPr>
      <w:sz w:val="20"/>
      <w:szCs w:val="20"/>
    </w:rPr>
  </w:style>
  <w:style w:type="paragraph" w:styleId="15">
    <w:name w:val="footer"/>
    <w:basedOn w:val="1"/>
    <w:link w:val="3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adjustRightInd w:val="0"/>
      <w:snapToGrid w:val="0"/>
      <w:spacing w:line="360" w:lineRule="auto"/>
      <w:jc w:val="left"/>
    </w:pPr>
    <w:rPr>
      <w:b/>
      <w:bCs/>
      <w:sz w:val="24"/>
      <w:szCs w:val="20"/>
    </w:rPr>
  </w:style>
  <w:style w:type="paragraph" w:styleId="18">
    <w:name w:val="toc 4"/>
    <w:basedOn w:val="1"/>
    <w:next w:val="1"/>
    <w:qFormat/>
    <w:uiPriority w:val="0"/>
    <w:pPr>
      <w:ind w:left="630"/>
      <w:jc w:val="left"/>
    </w:pPr>
    <w:rPr>
      <w:sz w:val="20"/>
      <w:szCs w:val="20"/>
    </w:rPr>
  </w:style>
  <w:style w:type="paragraph" w:styleId="19">
    <w:name w:val="toc 6"/>
    <w:basedOn w:val="1"/>
    <w:next w:val="1"/>
    <w:qFormat/>
    <w:uiPriority w:val="0"/>
    <w:pPr>
      <w:ind w:left="1050"/>
      <w:jc w:val="left"/>
    </w:pPr>
    <w:rPr>
      <w:sz w:val="20"/>
      <w:szCs w:val="20"/>
    </w:rPr>
  </w:style>
  <w:style w:type="paragraph" w:styleId="20">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21">
    <w:name w:val="toc 9"/>
    <w:basedOn w:val="1"/>
    <w:next w:val="1"/>
    <w:qFormat/>
    <w:uiPriority w:val="0"/>
    <w:pPr>
      <w:ind w:left="1680"/>
      <w:jc w:val="left"/>
    </w:pPr>
    <w:rPr>
      <w:sz w:val="20"/>
      <w:szCs w:val="20"/>
    </w:rPr>
  </w:style>
  <w:style w:type="paragraph" w:styleId="22">
    <w:name w:val="Body Text First Indent"/>
    <w:basedOn w:val="9"/>
    <w:unhideWhenUsed/>
    <w:qFormat/>
    <w:uiPriority w:val="0"/>
    <w:pPr>
      <w:ind w:firstLine="420" w:firstLineChars="100"/>
    </w:pPr>
    <w:rPr>
      <w:rFonts w:hint="default"/>
      <w:sz w:val="24"/>
      <w:szCs w:val="24"/>
    </w:rPr>
  </w:style>
  <w:style w:type="paragraph" w:styleId="23">
    <w:name w:val="Body Text First Indent 2"/>
    <w:basedOn w:val="11"/>
    <w:next w:val="22"/>
    <w:unhideWhenUsed/>
    <w:qFormat/>
    <w:uiPriority w:val="0"/>
    <w:pPr>
      <w:ind w:firstLine="420"/>
    </w:pPr>
    <w:rPr>
      <w:rFonts w:hint="eastAsia" w:ascii="仿宋" w:hAnsi="仿宋" w:eastAsia="仿宋" w:cs="Times New Roman"/>
      <w:sz w:val="24"/>
      <w:szCs w:val="32"/>
    </w:rPr>
  </w:style>
  <w:style w:type="character" w:styleId="26">
    <w:name w:val="page number"/>
    <w:basedOn w:val="25"/>
    <w:qFormat/>
    <w:uiPriority w:val="0"/>
  </w:style>
  <w:style w:type="character" w:styleId="27">
    <w:name w:val="Hyperlink"/>
    <w:basedOn w:val="25"/>
    <w:qFormat/>
    <w:uiPriority w:val="0"/>
    <w:rPr>
      <w:color w:val="0000FF"/>
      <w:u w:val="single"/>
    </w:rPr>
  </w:style>
  <w:style w:type="character" w:customStyle="1" w:styleId="28">
    <w:name w:val="标题 4 字符"/>
    <w:basedOn w:val="25"/>
    <w:link w:val="6"/>
    <w:qFormat/>
    <w:uiPriority w:val="0"/>
    <w:rPr>
      <w:rFonts w:ascii="Cambria" w:hAnsi="Cambria"/>
      <w:b/>
      <w:bCs/>
      <w:kern w:val="2"/>
      <w:sz w:val="28"/>
      <w:szCs w:val="28"/>
    </w:rPr>
  </w:style>
  <w:style w:type="paragraph" w:styleId="29">
    <w:name w:val="No Spacing"/>
    <w:link w:val="30"/>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30">
    <w:name w:val="无间隔 字符"/>
    <w:link w:val="29"/>
    <w:qFormat/>
    <w:locked/>
    <w:uiPriority w:val="0"/>
    <w:rPr>
      <w:rFonts w:eastAsia="仿宋_GB2312"/>
      <w:sz w:val="30"/>
      <w:szCs w:val="22"/>
      <w:lang w:bidi="ar-SA"/>
    </w:rPr>
  </w:style>
  <w:style w:type="character" w:customStyle="1" w:styleId="31">
    <w:name w:val="页脚 字符"/>
    <w:basedOn w:val="25"/>
    <w:link w:val="15"/>
    <w:qFormat/>
    <w:uiPriority w:val="0"/>
    <w:rPr>
      <w:kern w:val="2"/>
      <w:sz w:val="18"/>
      <w:szCs w:val="18"/>
    </w:rPr>
  </w:style>
  <w:style w:type="paragraph" w:styleId="32">
    <w:name w:val="List Paragraph"/>
    <w:basedOn w:val="1"/>
    <w:qFormat/>
    <w:uiPriority w:val="0"/>
    <w:pPr>
      <w:ind w:firstLine="420" w:firstLineChars="200"/>
    </w:pPr>
  </w:style>
  <w:style w:type="character" w:customStyle="1" w:styleId="33">
    <w:name w:val="标题 3 字符"/>
    <w:basedOn w:val="25"/>
    <w:link w:val="5"/>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spPr>
            <a:scene3d>
              <a:camera prst="orthographicFront"/>
              <a:lightRig rig="threePt" dir="t"/>
            </a:scene3d>
            <a:sp3d contourW="9525"/>
          </c:spPr>
          <c:explosion val="0"/>
          <c:dPt>
            <c:idx val="0"/>
            <c:bubble3D val="0"/>
            <c:spPr>
              <a:solidFill>
                <a:schemeClr val="accent1"/>
              </a:solidFill>
              <a:ln w="19050">
                <a:solidFill>
                  <a:schemeClr val="bg1"/>
                </a:solidFill>
              </a:ln>
              <a:effectLst/>
              <a:scene3d>
                <a:camera prst="orthographicFront"/>
                <a:lightRig rig="threePt" dir="t"/>
              </a:scene3d>
              <a:sp3d contourW="9525"/>
            </c:spPr>
          </c:dPt>
          <c:dPt>
            <c:idx val="1"/>
            <c:bubble3D val="0"/>
            <c:spPr>
              <a:solidFill>
                <a:schemeClr val="accent2"/>
              </a:solidFill>
              <a:ln w="19050">
                <a:solidFill>
                  <a:schemeClr val="bg1"/>
                </a:solidFill>
              </a:ln>
              <a:effectLst/>
              <a:scene3d>
                <a:camera prst="orthographicFront"/>
                <a:lightRig rig="threePt" dir="t"/>
              </a:scene3d>
              <a:sp3d contourW="9525"/>
            </c:spPr>
          </c:dPt>
          <c:dLbls>
            <c:delete val="1"/>
          </c:dLbls>
          <c:cat>
            <c:strRef>
              <c:f>Sheet1!$A$2:$A$3</c:f>
              <c:strCache>
                <c:ptCount val="2"/>
                <c:pt idx="0">
                  <c:v>一般公共预算财政拨款收入</c:v>
                </c:pt>
                <c:pt idx="1">
                  <c:v>其他收入</c:v>
                </c:pt>
              </c:strCache>
            </c:strRef>
          </c:cat>
          <c:val>
            <c:numRef>
              <c:f>Sheet1!$B$2:$B$3</c:f>
              <c:numCache>
                <c:formatCode>#,##0.00</c:formatCode>
                <c:ptCount val="2"/>
                <c:pt idx="0">
                  <c:v>2165.66</c:v>
                </c:pt>
                <c:pt idx="1" c:formatCode="General">
                  <c:v>60.71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spPr>
            <a:scene3d>
              <a:camera prst="orthographicFront"/>
              <a:lightRig rig="threePt" dir="t"/>
            </a:scene3d>
            <a:sp3d contourW="9525"/>
          </c:spPr>
          <c:explosion val="0"/>
          <c:dPt>
            <c:idx val="0"/>
            <c:bubble3D val="0"/>
            <c:spPr>
              <a:solidFill>
                <a:schemeClr val="accent1"/>
              </a:solidFill>
              <a:ln w="19050">
                <a:solidFill>
                  <a:schemeClr val="bg1"/>
                </a:solidFill>
              </a:ln>
              <a:effectLst/>
              <a:scene3d>
                <a:camera prst="orthographicFront"/>
                <a:lightRig rig="threePt" dir="t"/>
              </a:scene3d>
              <a:sp3d contourW="9525"/>
            </c:spPr>
          </c:dPt>
          <c:dPt>
            <c:idx val="1"/>
            <c:bubble3D val="0"/>
            <c:spPr>
              <a:solidFill>
                <a:schemeClr val="accent2"/>
              </a:solidFill>
              <a:ln w="19050">
                <a:solidFill>
                  <a:schemeClr val="bg1"/>
                </a:solidFill>
              </a:ln>
              <a:effectLst/>
              <a:scene3d>
                <a:camera prst="orthographicFront"/>
                <a:lightRig rig="threePt" dir="t"/>
              </a:scene3d>
              <a:sp3d contourW="9525"/>
            </c:spPr>
          </c:dPt>
          <c:dLbls>
            <c:delete val="1"/>
          </c:dLbls>
          <c:cat>
            <c:strRef>
              <c:f>Sheet1!$A$2:$A$3</c:f>
              <c:strCache>
                <c:ptCount val="2"/>
                <c:pt idx="0">
                  <c:v>基本支出</c:v>
                </c:pt>
                <c:pt idx="1">
                  <c:v>项目支出</c:v>
                </c:pt>
              </c:strCache>
            </c:strRef>
          </c:cat>
          <c:val>
            <c:numRef>
              <c:f>Sheet1!$B$2:$B$3</c:f>
              <c:numCache>
                <c:formatCode>General</c:formatCode>
                <c:ptCount val="2"/>
                <c:pt idx="0">
                  <c:v>753.57</c:v>
                </c:pt>
                <c:pt idx="1" c:formatCode="#,##0.00">
                  <c:v>1412.37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17896</Words>
  <Characters>19937</Characters>
  <Lines>1</Lines>
  <Paragraphs>1</Paragraphs>
  <TotalTime>33</TotalTime>
  <ScaleCrop>false</ScaleCrop>
  <LinksUpToDate>false</LinksUpToDate>
  <CharactersWithSpaces>20646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Lenovo</cp:lastModifiedBy>
  <cp:lastPrinted>2021-04-16T00:45:00Z</cp:lastPrinted>
  <dcterms:modified xsi:type="dcterms:W3CDTF">2024-09-18T10:01:59Z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C5EC57BE7B3F42F6B8559CE055959165_12</vt:lpwstr>
  </property>
</Properties>
</file>