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9617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52"/>
        </w:rPr>
      </w:pPr>
      <w:r>
        <w:rPr>
          <w:rFonts w:hint="eastAsia" w:ascii="宋体" w:hAnsi="宋体" w:eastAsia="宋体" w:cs="宋体"/>
          <w:b/>
          <w:bCs/>
          <w:sz w:val="44"/>
          <w:szCs w:val="52"/>
        </w:rPr>
        <w:t>巴彦淖尔市计划生育转移支付</w:t>
      </w:r>
    </w:p>
    <w:p w14:paraId="3E5B30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52"/>
        </w:rPr>
      </w:pPr>
      <w:r>
        <w:rPr>
          <w:rFonts w:hint="eastAsia" w:ascii="宋体" w:hAnsi="宋体" w:eastAsia="宋体" w:cs="宋体"/>
          <w:b/>
          <w:bCs/>
          <w:sz w:val="44"/>
          <w:szCs w:val="52"/>
        </w:rPr>
        <w:t>202</w:t>
      </w:r>
      <w:r>
        <w:rPr>
          <w:rFonts w:hint="eastAsia" w:ascii="宋体" w:hAnsi="宋体" w:eastAsia="宋体" w:cs="宋体"/>
          <w:b/>
          <w:bCs/>
          <w:sz w:val="44"/>
          <w:szCs w:val="52"/>
          <w:lang w:val="en-US" w:eastAsia="zh-CN"/>
        </w:rPr>
        <w:t>3</w:t>
      </w:r>
      <w:r>
        <w:rPr>
          <w:rFonts w:hint="eastAsia" w:ascii="宋体" w:hAnsi="宋体" w:eastAsia="宋体" w:cs="宋体"/>
          <w:b/>
          <w:bCs/>
          <w:sz w:val="44"/>
          <w:szCs w:val="52"/>
        </w:rPr>
        <w:t>年度绩效</w:t>
      </w:r>
      <w:r>
        <w:rPr>
          <w:rFonts w:hint="eastAsia" w:ascii="宋体" w:hAnsi="宋体" w:eastAsia="宋体" w:cs="宋体"/>
          <w:b/>
          <w:bCs/>
          <w:sz w:val="44"/>
          <w:szCs w:val="52"/>
          <w:lang w:eastAsia="zh-CN"/>
        </w:rPr>
        <w:t>自评</w:t>
      </w:r>
      <w:r>
        <w:rPr>
          <w:rFonts w:hint="eastAsia" w:ascii="宋体" w:hAnsi="宋体" w:eastAsia="宋体" w:cs="宋体"/>
          <w:b/>
          <w:bCs/>
          <w:sz w:val="44"/>
          <w:szCs w:val="52"/>
        </w:rPr>
        <w:t>报告</w:t>
      </w:r>
    </w:p>
    <w:p w14:paraId="216C93A0">
      <w:pPr>
        <w:spacing w:line="560" w:lineRule="exact"/>
        <w:jc w:val="center"/>
        <w:rPr>
          <w:rFonts w:asciiTheme="majorEastAsia" w:hAnsiTheme="majorEastAsia" w:eastAsiaTheme="majorEastAsia" w:cstheme="majorEastAsia"/>
          <w:b/>
          <w:bCs/>
          <w:sz w:val="44"/>
          <w:szCs w:val="52"/>
        </w:rPr>
      </w:pPr>
    </w:p>
    <w:p w14:paraId="1C601DC4">
      <w:pPr>
        <w:keepNext w:val="0"/>
        <w:keepLines w:val="0"/>
        <w:pageBreakBefore w:val="0"/>
        <w:wordWrap/>
        <w:overflowPunct/>
        <w:topLinePunct w:val="0"/>
        <w:bidi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财政部关于开展</w:t>
      </w:r>
      <w:r>
        <w:rPr>
          <w:rFonts w:hint="eastAsia" w:ascii="仿宋" w:hAnsi="仿宋" w:eastAsia="仿宋" w:cs="仿宋"/>
          <w:sz w:val="32"/>
          <w:szCs w:val="32"/>
          <w:lang w:val="en-US" w:eastAsia="zh-CN"/>
        </w:rPr>
        <w:t>2023年度中央对地方转移支付预算执行情况绩效自评工作的通知</w:t>
      </w:r>
      <w:r>
        <w:rPr>
          <w:rFonts w:hint="eastAsia" w:ascii="仿宋" w:hAnsi="仿宋" w:eastAsia="仿宋" w:cs="仿宋"/>
          <w:sz w:val="32"/>
          <w:szCs w:val="32"/>
        </w:rPr>
        <w:t>》精神和自治区卫生健康委《202</w:t>
      </w:r>
      <w:r>
        <w:rPr>
          <w:rFonts w:hint="eastAsia" w:ascii="仿宋" w:hAnsi="仿宋" w:eastAsia="仿宋" w:cs="仿宋"/>
          <w:sz w:val="32"/>
          <w:szCs w:val="32"/>
          <w:lang w:val="en-US" w:eastAsia="zh-CN"/>
        </w:rPr>
        <w:t>3</w:t>
      </w:r>
      <w:r>
        <w:rPr>
          <w:rFonts w:hint="eastAsia" w:ascii="仿宋" w:hAnsi="仿宋" w:eastAsia="仿宋" w:cs="仿宋"/>
          <w:sz w:val="32"/>
          <w:szCs w:val="32"/>
        </w:rPr>
        <w:t>年计划生育服务项目绩效评价方案》的部署，我市严格按照计划生育服务项目绩效评价的要求，认真开展自评工作。</w:t>
      </w:r>
      <w:r>
        <w:rPr>
          <w:rFonts w:hint="eastAsia" w:ascii="仿宋" w:hAnsi="仿宋" w:eastAsia="仿宋" w:cs="仿宋"/>
          <w:sz w:val="32"/>
          <w:szCs w:val="32"/>
          <w:lang w:eastAsia="zh-CN"/>
        </w:rPr>
        <w:t>评价情况如下</w:t>
      </w:r>
      <w:r>
        <w:rPr>
          <w:rFonts w:hint="eastAsia" w:ascii="仿宋" w:hAnsi="仿宋" w:eastAsia="仿宋" w:cs="仿宋"/>
          <w:sz w:val="32"/>
          <w:szCs w:val="32"/>
        </w:rPr>
        <w:t>：</w:t>
      </w:r>
    </w:p>
    <w:p w14:paraId="5F2F56AC">
      <w:pPr>
        <w:keepNext w:val="0"/>
        <w:keepLines w:val="0"/>
        <w:pageBreakBefore w:val="0"/>
        <w:wordWrap/>
        <w:overflowPunct/>
        <w:topLinePunct w:val="0"/>
        <w:bidi w:val="0"/>
        <w:spacing w:line="240" w:lineRule="auto"/>
        <w:ind w:firstLine="640" w:firstLineChars="200"/>
        <w:rPr>
          <w:rFonts w:ascii="黑体" w:hAnsi="黑体" w:eastAsia="黑体" w:cs="黑体"/>
          <w:sz w:val="32"/>
          <w:szCs w:val="40"/>
        </w:rPr>
      </w:pPr>
      <w:r>
        <w:rPr>
          <w:rFonts w:hint="eastAsia" w:ascii="黑体" w:hAnsi="黑体" w:eastAsia="黑体" w:cs="黑体"/>
          <w:sz w:val="32"/>
          <w:szCs w:val="40"/>
        </w:rPr>
        <w:t>一、项目基本情况</w:t>
      </w:r>
    </w:p>
    <w:p w14:paraId="2D478301">
      <w:pPr>
        <w:keepNext w:val="0"/>
        <w:keepLines w:val="0"/>
        <w:pageBreakBefore w:val="0"/>
        <w:wordWrap/>
        <w:overflowPunct/>
        <w:topLinePunct w:val="0"/>
        <w:bidi w:val="0"/>
        <w:spacing w:line="24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计划生育服务项目包括农村牧区计划生育家庭奖励扶助和计划生育家庭特别扶助项目。</w:t>
      </w:r>
      <w:r>
        <w:rPr>
          <w:rFonts w:hint="eastAsia" w:ascii="仿宋_GB2312" w:hAnsi="仿宋" w:eastAsia="仿宋_GB2312" w:cs="仿宋"/>
          <w:sz w:val="32"/>
          <w:szCs w:val="32"/>
        </w:rPr>
        <w:t>农村牧区计划生育家庭奖励扶助制度</w:t>
      </w:r>
      <w:r>
        <w:rPr>
          <w:rFonts w:hint="eastAsia" w:ascii="仿宋_GB2312" w:hAnsi="仿宋" w:eastAsia="仿宋_GB2312" w:cs="仿宋"/>
          <w:sz w:val="32"/>
          <w:szCs w:val="32"/>
          <w:lang w:eastAsia="zh-CN"/>
        </w:rPr>
        <w:t>是</w:t>
      </w:r>
      <w:r>
        <w:rPr>
          <w:rFonts w:hint="eastAsia" w:ascii="仿宋_GB2312" w:hAnsi="仿宋" w:eastAsia="仿宋_GB2312" w:cs="仿宋"/>
          <w:sz w:val="32"/>
          <w:szCs w:val="32"/>
        </w:rPr>
        <w:t>针对农村牧区只有一个子女或两个女孩的计划生育家庭，在夫妇年满60周岁以后，由中央和地方财政安排专项资金给予奖励扶助，符合条件的对象按每人每年960元的标准</w:t>
      </w:r>
      <w:r>
        <w:rPr>
          <w:rFonts w:hint="eastAsia" w:ascii="仿宋_GB2312" w:hAnsi="仿宋" w:eastAsia="仿宋_GB2312" w:cs="仿宋"/>
          <w:color w:val="auto"/>
          <w:sz w:val="32"/>
          <w:szCs w:val="32"/>
          <w:lang w:eastAsia="zh-CN"/>
        </w:rPr>
        <w:t>发放</w:t>
      </w:r>
      <w:r>
        <w:rPr>
          <w:rFonts w:hint="eastAsia" w:ascii="仿宋_GB2312" w:hAnsi="仿宋" w:eastAsia="仿宋_GB2312" w:cs="仿宋"/>
          <w:sz w:val="32"/>
          <w:szCs w:val="32"/>
        </w:rPr>
        <w:t>奖励扶助金。计划生育家庭特别扶助制度</w:t>
      </w:r>
      <w:r>
        <w:rPr>
          <w:rFonts w:hint="eastAsia" w:ascii="仿宋_GB2312" w:hAnsi="仿宋" w:eastAsia="仿宋_GB2312" w:cs="仿宋"/>
          <w:sz w:val="32"/>
          <w:szCs w:val="32"/>
          <w:lang w:eastAsia="zh-CN"/>
        </w:rPr>
        <w:t>是</w:t>
      </w:r>
      <w:r>
        <w:rPr>
          <w:rFonts w:hint="eastAsia" w:ascii="仿宋_GB2312" w:hAnsi="仿宋" w:eastAsia="仿宋_GB2312" w:cs="仿宋"/>
          <w:sz w:val="32"/>
          <w:szCs w:val="32"/>
        </w:rPr>
        <w:t>为了完善人口和计划生育利益导向机制，解决独生子女伤残死亡家庭的特殊困难，针对独生子女家庭所制定的一项基本制度，符合条件的独生子女伤残家庭夫妻</w:t>
      </w:r>
      <w:r>
        <w:rPr>
          <w:rFonts w:hint="eastAsia" w:ascii="仿宋_GB2312" w:hAnsi="仿宋" w:eastAsia="仿宋_GB2312" w:cs="仿宋"/>
          <w:sz w:val="32"/>
          <w:szCs w:val="32"/>
          <w:lang w:eastAsia="zh-CN"/>
        </w:rPr>
        <w:t>，按照</w:t>
      </w:r>
      <w:r>
        <w:rPr>
          <w:rFonts w:hint="eastAsia" w:ascii="仿宋_GB2312" w:hAnsi="仿宋" w:eastAsia="仿宋_GB2312" w:cs="仿宋"/>
          <w:sz w:val="32"/>
          <w:szCs w:val="32"/>
        </w:rPr>
        <w:t>每人每</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lang w:val="en-US" w:eastAsia="zh-CN"/>
        </w:rPr>
        <w:t>630</w:t>
      </w:r>
      <w:r>
        <w:rPr>
          <w:rFonts w:hint="eastAsia" w:ascii="仿宋_GB2312" w:hAnsi="仿宋" w:eastAsia="仿宋_GB2312" w:cs="仿宋"/>
          <w:sz w:val="32"/>
          <w:szCs w:val="32"/>
        </w:rPr>
        <w:t>元标准发放扶助金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独生子女死亡家庭夫妻</w:t>
      </w:r>
      <w:r>
        <w:rPr>
          <w:rFonts w:hint="eastAsia" w:ascii="仿宋_GB2312" w:hAnsi="仿宋" w:eastAsia="仿宋_GB2312" w:cs="仿宋"/>
          <w:sz w:val="32"/>
          <w:szCs w:val="32"/>
          <w:lang w:eastAsia="zh-CN"/>
        </w:rPr>
        <w:t>按照</w:t>
      </w:r>
      <w:r>
        <w:rPr>
          <w:rFonts w:hint="eastAsia" w:ascii="仿宋_GB2312" w:hAnsi="仿宋" w:eastAsia="仿宋_GB2312" w:cs="仿宋"/>
          <w:sz w:val="32"/>
          <w:szCs w:val="32"/>
        </w:rPr>
        <w:t>每人每</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lang w:val="en-US" w:eastAsia="zh-CN"/>
        </w:rPr>
        <w:t>795</w:t>
      </w:r>
      <w:r>
        <w:rPr>
          <w:rFonts w:hint="eastAsia" w:ascii="仿宋_GB2312" w:hAnsi="仿宋" w:eastAsia="仿宋_GB2312" w:cs="仿宋"/>
          <w:sz w:val="32"/>
          <w:szCs w:val="32"/>
        </w:rPr>
        <w:t>元标准发放扶助金。</w:t>
      </w:r>
    </w:p>
    <w:p w14:paraId="548DD66D">
      <w:pPr>
        <w:keepNext w:val="0"/>
        <w:keepLines w:val="0"/>
        <w:pageBreakBefore w:val="0"/>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年，巴彦淖尔市和旗县区卫生健康委组织实施计划生育服务项目——计划生育“</w:t>
      </w:r>
      <w:r>
        <w:rPr>
          <w:rFonts w:hint="eastAsia" w:ascii="仿宋_GB2312" w:hAnsi="仿宋" w:eastAsia="仿宋_GB2312" w:cs="仿宋"/>
          <w:sz w:val="32"/>
          <w:szCs w:val="32"/>
          <w:lang w:eastAsia="zh-CN"/>
        </w:rPr>
        <w:t>两</w:t>
      </w:r>
      <w:r>
        <w:rPr>
          <w:rFonts w:hint="eastAsia" w:ascii="仿宋_GB2312" w:hAnsi="仿宋" w:eastAsia="仿宋_GB2312" w:cs="仿宋"/>
          <w:sz w:val="32"/>
          <w:szCs w:val="32"/>
        </w:rPr>
        <w:t>项制度”（奖励扶助</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特别扶助），覆盖全市7个旗县区、68个苏木乡镇、11个街道办事处和17个农牧渔场,奖励扶助受益</w:t>
      </w:r>
      <w:r>
        <w:rPr>
          <w:rFonts w:hint="eastAsia" w:ascii="仿宋_GB2312" w:hAnsi="仿宋" w:eastAsia="仿宋_GB2312" w:cs="仿宋"/>
          <w:sz w:val="32"/>
          <w:szCs w:val="32"/>
          <w:lang w:val="en-US" w:eastAsia="zh-CN"/>
        </w:rPr>
        <w:t>11577</w:t>
      </w:r>
      <w:r>
        <w:rPr>
          <w:rFonts w:hint="eastAsia" w:ascii="仿宋_GB2312" w:hAnsi="仿宋" w:eastAsia="仿宋_GB2312" w:cs="仿宋"/>
          <w:sz w:val="32"/>
          <w:szCs w:val="32"/>
        </w:rPr>
        <w:t>人、特别扶助受益</w:t>
      </w:r>
      <w:r>
        <w:rPr>
          <w:rFonts w:hint="eastAsia" w:ascii="仿宋_GB2312" w:hAnsi="仿宋" w:eastAsia="仿宋_GB2312" w:cs="仿宋"/>
          <w:sz w:val="32"/>
          <w:szCs w:val="32"/>
          <w:lang w:val="en-US" w:eastAsia="zh-CN"/>
        </w:rPr>
        <w:t>1349</w:t>
      </w:r>
      <w:r>
        <w:rPr>
          <w:rFonts w:hint="eastAsia" w:ascii="仿宋_GB2312" w:hAnsi="仿宋" w:eastAsia="仿宋_GB2312" w:cs="仿宋"/>
          <w:sz w:val="32"/>
          <w:szCs w:val="32"/>
        </w:rPr>
        <w:t>人（伤残</w:t>
      </w:r>
      <w:r>
        <w:rPr>
          <w:rFonts w:hint="eastAsia" w:ascii="仿宋_GB2312" w:hAnsi="仿宋" w:eastAsia="仿宋_GB2312" w:cs="仿宋"/>
          <w:sz w:val="32"/>
          <w:szCs w:val="32"/>
          <w:lang w:val="en-US" w:eastAsia="zh-CN"/>
        </w:rPr>
        <w:t>502</w:t>
      </w:r>
      <w:r>
        <w:rPr>
          <w:rFonts w:hint="eastAsia" w:ascii="仿宋_GB2312" w:hAnsi="仿宋" w:eastAsia="仿宋_GB2312" w:cs="仿宋"/>
          <w:sz w:val="32"/>
          <w:szCs w:val="32"/>
        </w:rPr>
        <w:t>人、死亡</w:t>
      </w:r>
      <w:r>
        <w:rPr>
          <w:rFonts w:hint="eastAsia" w:ascii="仿宋_GB2312" w:hAnsi="仿宋" w:eastAsia="仿宋_GB2312" w:cs="仿宋"/>
          <w:sz w:val="32"/>
          <w:szCs w:val="32"/>
          <w:lang w:val="en-US" w:eastAsia="zh-CN"/>
        </w:rPr>
        <w:t>847</w:t>
      </w:r>
      <w:r>
        <w:rPr>
          <w:rFonts w:hint="eastAsia" w:ascii="仿宋_GB2312" w:hAnsi="仿宋" w:eastAsia="仿宋_GB2312" w:cs="仿宋"/>
          <w:sz w:val="32"/>
          <w:szCs w:val="32"/>
        </w:rPr>
        <w:t>人）、手术并发症扶助受益43人。</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 w:hAnsi="仿宋" w:eastAsia="仿宋" w:cs="仿宋"/>
          <w:sz w:val="32"/>
          <w:szCs w:val="32"/>
        </w:rPr>
        <w:tab/>
      </w:r>
    </w:p>
    <w:p w14:paraId="5A2F0CF4">
      <w:pPr>
        <w:keepNext w:val="0"/>
        <w:keepLines w:val="0"/>
        <w:pageBreakBefore w:val="0"/>
        <w:wordWrap/>
        <w:overflowPunct/>
        <w:topLinePunct w:val="0"/>
        <w:bidi w:val="0"/>
        <w:spacing w:line="240" w:lineRule="auto"/>
        <w:ind w:firstLine="640" w:firstLineChars="200"/>
        <w:rPr>
          <w:rFonts w:hint="eastAsia" w:ascii="Times New Roman" w:hAnsi="Times New Roman" w:eastAsia="黑体"/>
          <w:color w:val="auto"/>
          <w:sz w:val="32"/>
          <w:szCs w:val="32"/>
          <w:lang w:val="en-US" w:eastAsia="zh-CN"/>
        </w:rPr>
      </w:pPr>
      <w:r>
        <w:rPr>
          <w:rFonts w:ascii="Times New Roman" w:hAnsi="Times New Roman" w:eastAsia="黑体"/>
          <w:color w:val="auto"/>
          <w:sz w:val="32"/>
          <w:szCs w:val="32"/>
        </w:rPr>
        <w:t>二、</w:t>
      </w:r>
      <w:r>
        <w:rPr>
          <w:rFonts w:hint="eastAsia" w:ascii="Times New Roman" w:hAnsi="Times New Roman" w:eastAsia="黑体"/>
          <w:color w:val="auto"/>
          <w:sz w:val="32"/>
          <w:szCs w:val="32"/>
          <w:lang w:val="en-US" w:eastAsia="zh-CN"/>
        </w:rPr>
        <w:t>绩效目标分解下达情况</w:t>
      </w:r>
    </w:p>
    <w:p w14:paraId="6673D341">
      <w:pPr>
        <w:keepNext w:val="0"/>
        <w:keepLines w:val="0"/>
        <w:pageBreakBefore w:val="0"/>
        <w:widowControl/>
        <w:suppressLineNumbers w:val="0"/>
        <w:wordWrap/>
        <w:overflowPunct/>
        <w:topLinePunct w:val="0"/>
        <w:bidi w:val="0"/>
        <w:spacing w:line="240" w:lineRule="auto"/>
        <w:ind w:firstLine="628"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pacing w:val="-3"/>
          <w:sz w:val="32"/>
          <w:szCs w:val="32"/>
          <w:lang w:val="en-US" w:eastAsia="zh-CN"/>
        </w:rPr>
        <w:t>我市计划生育服务补助资金合计</w:t>
      </w:r>
      <w:r>
        <w:rPr>
          <w:rFonts w:hint="eastAsia" w:ascii="仿宋_GB2312" w:hAnsi="仿宋_GB2312" w:eastAsia="仿宋_GB2312" w:cs="仿宋_GB2312"/>
          <w:sz w:val="32"/>
          <w:szCs w:val="32"/>
          <w:lang w:val="en-US" w:eastAsia="zh-CN"/>
        </w:rPr>
        <w:t>2330.56</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auto"/>
          <w:sz w:val="32"/>
          <w:szCs w:val="32"/>
          <w:highlight w:val="none"/>
          <w:lang w:val="en-US" w:eastAsia="zh-CN"/>
        </w:rPr>
        <w:t>按照2023年计划生育家庭奖励扶助、特别扶助人数进行分配，同时分解下达绩效目标。</w:t>
      </w:r>
    </w:p>
    <w:p w14:paraId="7E6FAC3E">
      <w:pPr>
        <w:keepNext w:val="0"/>
        <w:keepLines w:val="0"/>
        <w:pageBreakBefore w:val="0"/>
        <w:wordWrap/>
        <w:overflowPunct/>
        <w:topLinePunct w:val="0"/>
        <w:bidi w:val="0"/>
        <w:spacing w:line="240" w:lineRule="auto"/>
        <w:ind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三、绩效情况分析</w:t>
      </w:r>
    </w:p>
    <w:p w14:paraId="4E92B3FD">
      <w:pPr>
        <w:keepNext w:val="0"/>
        <w:keepLines w:val="0"/>
        <w:pageBreakBefore w:val="0"/>
        <w:wordWrap/>
        <w:overflowPunct/>
        <w:topLinePunct w:val="0"/>
        <w:bidi w:val="0"/>
        <w:spacing w:line="240" w:lineRule="auto"/>
        <w:ind w:firstLine="643" w:firstLineChars="200"/>
        <w:rPr>
          <w:rFonts w:ascii="Times New Roman" w:hAnsi="Times New Roman" w:eastAsia="楷体_GB2312"/>
          <w:b/>
          <w:bCs w:val="0"/>
          <w:color w:val="auto"/>
          <w:sz w:val="32"/>
          <w:szCs w:val="32"/>
        </w:rPr>
      </w:pPr>
      <w:r>
        <w:rPr>
          <w:rFonts w:ascii="Times New Roman" w:hAnsi="Times New Roman" w:eastAsia="楷体_GB2312"/>
          <w:b/>
          <w:bCs w:val="0"/>
          <w:color w:val="auto"/>
          <w:sz w:val="32"/>
          <w:szCs w:val="32"/>
        </w:rPr>
        <w:t>（一）</w:t>
      </w:r>
      <w:r>
        <w:rPr>
          <w:rFonts w:hint="eastAsia" w:ascii="Times New Roman" w:hAnsi="Times New Roman" w:eastAsia="楷体_GB2312"/>
          <w:b/>
          <w:bCs w:val="0"/>
          <w:color w:val="auto"/>
          <w:sz w:val="32"/>
          <w:szCs w:val="32"/>
          <w:lang w:eastAsia="zh-CN"/>
        </w:rPr>
        <w:t>资金</w:t>
      </w:r>
      <w:r>
        <w:rPr>
          <w:rFonts w:ascii="Times New Roman" w:hAnsi="Times New Roman" w:eastAsia="楷体_GB2312"/>
          <w:b/>
          <w:bCs w:val="0"/>
          <w:color w:val="auto"/>
          <w:sz w:val="32"/>
          <w:szCs w:val="32"/>
        </w:rPr>
        <w:t>投入</w:t>
      </w:r>
      <w:r>
        <w:rPr>
          <w:rFonts w:hint="eastAsia" w:ascii="Times New Roman" w:hAnsi="Times New Roman" w:eastAsia="楷体_GB2312"/>
          <w:b/>
          <w:bCs w:val="0"/>
          <w:color w:val="auto"/>
          <w:sz w:val="32"/>
          <w:szCs w:val="32"/>
          <w:lang w:eastAsia="zh-CN"/>
        </w:rPr>
        <w:t>情况</w:t>
      </w:r>
    </w:p>
    <w:p w14:paraId="02D7444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2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val="en-US" w:eastAsia="zh-CN"/>
        </w:rPr>
        <w:t>计划生育服务</w:t>
      </w:r>
      <w:r>
        <w:rPr>
          <w:rFonts w:hint="eastAsia" w:ascii="仿宋_GB2312" w:hAnsi="仿宋_GB2312" w:eastAsia="仿宋_GB2312" w:cs="仿宋_GB2312"/>
          <w:color w:val="000000"/>
          <w:spacing w:val="-3"/>
          <w:sz w:val="32"/>
          <w:szCs w:val="32"/>
          <w:lang w:eastAsia="zh-CN"/>
        </w:rPr>
        <w:t>补助</w:t>
      </w:r>
      <w:r>
        <w:rPr>
          <w:rFonts w:hint="eastAsia" w:ascii="仿宋_GB2312" w:hAnsi="仿宋_GB2312" w:eastAsia="仿宋_GB2312" w:cs="仿宋_GB2312"/>
          <w:sz w:val="32"/>
          <w:szCs w:val="32"/>
        </w:rPr>
        <w:t>资金共拨付</w:t>
      </w:r>
      <w:r>
        <w:rPr>
          <w:rFonts w:hint="eastAsia" w:ascii="仿宋_GB2312" w:hAnsi="仿宋_GB2312" w:eastAsia="仿宋_GB2312" w:cs="仿宋_GB2312"/>
          <w:sz w:val="32"/>
          <w:szCs w:val="32"/>
          <w:lang w:val="en-US" w:eastAsia="zh-CN"/>
        </w:rPr>
        <w:t>2369.78</w:t>
      </w:r>
      <w:r>
        <w:rPr>
          <w:rFonts w:hint="eastAsia" w:ascii="仿宋_GB2312" w:hAnsi="仿宋_GB2312" w:eastAsia="仿宋_GB2312" w:cs="仿宋_GB2312"/>
          <w:sz w:val="32"/>
          <w:szCs w:val="32"/>
        </w:rPr>
        <w:t>万元，其中中央</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1570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地方财政资金</w:t>
      </w:r>
      <w:r>
        <w:rPr>
          <w:rFonts w:hint="eastAsia" w:ascii="仿宋_GB2312" w:hAnsi="仿宋_GB2312" w:eastAsia="仿宋_GB2312" w:cs="仿宋_GB2312"/>
          <w:sz w:val="32"/>
          <w:szCs w:val="32"/>
          <w:lang w:val="en-US" w:eastAsia="zh-CN"/>
        </w:rPr>
        <w:t>799.78万元（</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488</w:t>
      </w:r>
      <w:r>
        <w:rPr>
          <w:rFonts w:hint="eastAsia" w:ascii="仿宋_GB2312" w:hAnsi="仿宋_GB2312" w:eastAsia="仿宋_GB2312" w:cs="仿宋_GB2312"/>
          <w:sz w:val="32"/>
          <w:szCs w:val="32"/>
        </w:rPr>
        <w:t>万元、市</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67.9</w:t>
      </w:r>
      <w:r>
        <w:rPr>
          <w:rFonts w:hint="eastAsia" w:ascii="仿宋_GB2312" w:hAnsi="仿宋_GB2312" w:eastAsia="仿宋_GB2312" w:cs="仿宋_GB2312"/>
          <w:sz w:val="32"/>
          <w:szCs w:val="32"/>
        </w:rPr>
        <w:t>万元、旗</w:t>
      </w:r>
      <w:r>
        <w:rPr>
          <w:rFonts w:hint="eastAsia" w:ascii="仿宋_GB2312" w:hAnsi="仿宋_GB2312" w:eastAsia="仿宋_GB2312" w:cs="仿宋_GB2312"/>
          <w:sz w:val="32"/>
          <w:szCs w:val="32"/>
          <w:lang w:eastAsia="zh-CN"/>
        </w:rPr>
        <w:t>县财政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243.88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截至2023年12月31日，资金总体执行率为96.84%，其中中央财政补助资金执行率95.42%，地方财政资金执行率99.64%。</w:t>
      </w:r>
    </w:p>
    <w:p w14:paraId="7769CD8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3" w:firstLineChars="200"/>
        <w:textAlignment w:val="auto"/>
        <w:rPr>
          <w:rFonts w:ascii="Times New Roman" w:hAnsi="Times New Roman" w:eastAsia="楷体_GB2312"/>
          <w:b/>
          <w:bCs w:val="0"/>
          <w:color w:val="auto"/>
          <w:sz w:val="32"/>
          <w:szCs w:val="32"/>
        </w:rPr>
      </w:pPr>
      <w:r>
        <w:rPr>
          <w:rFonts w:ascii="Times New Roman" w:hAnsi="Times New Roman" w:eastAsia="楷体_GB2312"/>
          <w:b/>
          <w:bCs w:val="0"/>
          <w:color w:val="auto"/>
          <w:sz w:val="32"/>
          <w:szCs w:val="32"/>
        </w:rPr>
        <w:t>（</w:t>
      </w:r>
      <w:r>
        <w:rPr>
          <w:rFonts w:hint="eastAsia" w:ascii="Times New Roman" w:hAnsi="Times New Roman" w:eastAsia="楷体_GB2312"/>
          <w:b/>
          <w:bCs w:val="0"/>
          <w:color w:val="auto"/>
          <w:sz w:val="32"/>
          <w:szCs w:val="32"/>
          <w:lang w:eastAsia="zh-CN"/>
        </w:rPr>
        <w:t>二</w:t>
      </w:r>
      <w:r>
        <w:rPr>
          <w:rFonts w:ascii="Times New Roman" w:hAnsi="Times New Roman" w:eastAsia="楷体_GB2312"/>
          <w:b/>
          <w:bCs w:val="0"/>
          <w:color w:val="auto"/>
          <w:sz w:val="32"/>
          <w:szCs w:val="32"/>
        </w:rPr>
        <w:t>）资金管理</w:t>
      </w:r>
      <w:r>
        <w:rPr>
          <w:rFonts w:hint="eastAsia" w:ascii="Times New Roman" w:hAnsi="Times New Roman" w:eastAsia="楷体_GB2312"/>
          <w:b/>
          <w:bCs w:val="0"/>
          <w:color w:val="auto"/>
          <w:sz w:val="32"/>
          <w:szCs w:val="32"/>
          <w:lang w:eastAsia="zh-CN"/>
        </w:rPr>
        <w:t>情况</w:t>
      </w:r>
    </w:p>
    <w:p w14:paraId="62A5886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olor w:val="auto"/>
          <w:sz w:val="32"/>
          <w:szCs w:val="32"/>
        </w:rPr>
        <w:t>巴彦淖尔市</w:t>
      </w:r>
      <w:r>
        <w:rPr>
          <w:rFonts w:hint="eastAsia" w:ascii="Times New Roman" w:hAnsi="Times New Roman" w:eastAsia="仿宋_GB2312"/>
          <w:color w:val="auto"/>
          <w:sz w:val="32"/>
          <w:szCs w:val="32"/>
          <w:lang w:eastAsia="zh-CN"/>
        </w:rPr>
        <w:t>计划生育服务补助</w:t>
      </w:r>
      <w:r>
        <w:rPr>
          <w:rFonts w:ascii="Times New Roman" w:hAnsi="Times New Roman" w:eastAsia="仿宋_GB2312"/>
          <w:color w:val="auto"/>
          <w:sz w:val="32"/>
          <w:szCs w:val="32"/>
        </w:rPr>
        <w:t>资金核拨匹配到位，</w:t>
      </w:r>
      <w:r>
        <w:rPr>
          <w:rFonts w:hint="eastAsia" w:ascii="Times New Roman" w:hAnsi="Times New Roman" w:eastAsia="仿宋_GB2312"/>
          <w:color w:val="auto"/>
          <w:sz w:val="32"/>
          <w:szCs w:val="32"/>
          <w:lang w:eastAsia="zh-CN"/>
        </w:rPr>
        <w:t>补助资金</w:t>
      </w:r>
      <w:r>
        <w:rPr>
          <w:rFonts w:hint="eastAsia" w:ascii="仿宋_GB2312" w:hAnsi="仿宋_GB2312" w:eastAsia="仿宋_GB2312" w:cs="仿宋_GB2312"/>
          <w:b w:val="0"/>
          <w:bCs w:val="0"/>
          <w:color w:val="auto"/>
          <w:sz w:val="32"/>
          <w:szCs w:val="32"/>
          <w:highlight w:val="none"/>
          <w:lang w:val="en-US" w:eastAsia="zh-CN"/>
        </w:rPr>
        <w:t>按照2023年计划生育家庭奖励扶助、特别扶助人数情况进行分配，分配合理；除中央正式批次资金在接到自治区资金41天下达外，其他资金均于30天内下达各旗县区，下达资金时同步下达绩效目标，纳入绩效管理，定期开展绩效监控和绩效评价；市、旗县区财政严格按照国库集中支付制度有关规定拨付资金，各旗县区严格按照下达预算的科目和项目执行，按时将扶助资金发放至扶助对象，无截留、挤占、挪用等情况。</w:t>
      </w:r>
    </w:p>
    <w:p w14:paraId="562A76A4">
      <w:pPr>
        <w:keepNext w:val="0"/>
        <w:keepLines w:val="0"/>
        <w:pageBreakBefore w:val="0"/>
        <w:wordWrap/>
        <w:overflowPunct/>
        <w:topLinePunct w:val="0"/>
        <w:bidi w:val="0"/>
        <w:spacing w:line="240" w:lineRule="auto"/>
        <w:ind w:firstLine="643" w:firstLineChars="200"/>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w:t>
      </w:r>
      <w:r>
        <w:rPr>
          <w:rFonts w:hint="eastAsia" w:ascii="楷体" w:hAnsi="楷体" w:eastAsia="楷体" w:cs="楷体"/>
          <w:b/>
          <w:bCs w:val="0"/>
          <w:color w:val="auto"/>
          <w:sz w:val="32"/>
          <w:szCs w:val="32"/>
          <w:lang w:eastAsia="zh-CN"/>
        </w:rPr>
        <w:t>三</w:t>
      </w:r>
      <w:r>
        <w:rPr>
          <w:rFonts w:hint="eastAsia" w:ascii="楷体" w:hAnsi="楷体" w:eastAsia="楷体" w:cs="楷体"/>
          <w:b/>
          <w:bCs w:val="0"/>
          <w:color w:val="auto"/>
          <w:sz w:val="32"/>
          <w:szCs w:val="32"/>
        </w:rPr>
        <w:t>）</w:t>
      </w:r>
      <w:r>
        <w:rPr>
          <w:rFonts w:hint="eastAsia" w:ascii="楷体" w:hAnsi="楷体" w:eastAsia="楷体" w:cs="楷体"/>
          <w:b/>
          <w:bCs w:val="0"/>
          <w:color w:val="auto"/>
          <w:sz w:val="32"/>
          <w:szCs w:val="32"/>
          <w:lang w:eastAsia="zh-CN"/>
        </w:rPr>
        <w:t>总</w:t>
      </w:r>
      <w:r>
        <w:rPr>
          <w:rFonts w:hint="eastAsia" w:ascii="楷体" w:hAnsi="楷体" w:eastAsia="楷体" w:cs="楷体"/>
          <w:b/>
          <w:bCs w:val="0"/>
          <w:color w:val="auto"/>
          <w:sz w:val="32"/>
          <w:szCs w:val="32"/>
        </w:rPr>
        <w:t>体绩效目标完成情况</w:t>
      </w:r>
    </w:p>
    <w:p w14:paraId="4311317B">
      <w:pPr>
        <w:keepNext w:val="0"/>
        <w:keepLines w:val="0"/>
        <w:pageBreakBefore w:val="0"/>
        <w:wordWrap/>
        <w:overflowPunct/>
        <w:topLinePunct w:val="0"/>
        <w:bidi w:val="0"/>
        <w:spacing w:line="240" w:lineRule="auto"/>
        <w:ind w:firstLine="640" w:firstLineChars="200"/>
        <w:rPr>
          <w:rFonts w:hint="eastAsia" w:ascii="仿宋" w:hAnsi="仿宋" w:eastAsia="仿宋" w:cs="仿宋"/>
          <w:sz w:val="32"/>
          <w:szCs w:val="32"/>
        </w:rPr>
      </w:pPr>
      <w:r>
        <w:rPr>
          <w:rFonts w:hint="eastAsia" w:ascii="Times New Roman" w:hAnsi="Times New Roman" w:eastAsia="仿宋_GB2312"/>
          <w:color w:val="auto"/>
          <w:sz w:val="32"/>
          <w:szCs w:val="32"/>
          <w:lang w:val="en-US" w:eastAsia="zh-CN"/>
        </w:rPr>
        <w:t>2023年，</w:t>
      </w:r>
      <w:r>
        <w:rPr>
          <w:rFonts w:hint="eastAsia" w:ascii="Times New Roman" w:hAnsi="Times New Roman" w:eastAsia="仿宋_GB2312"/>
          <w:color w:val="auto"/>
          <w:sz w:val="32"/>
          <w:szCs w:val="32"/>
          <w:lang w:eastAsia="zh-CN"/>
        </w:rPr>
        <w:t>我市</w:t>
      </w:r>
      <w:r>
        <w:rPr>
          <w:rFonts w:hint="eastAsia" w:ascii="Times New Roman" w:hAnsi="Times New Roman" w:eastAsia="仿宋_GB2312"/>
          <w:color w:val="auto"/>
          <w:sz w:val="32"/>
          <w:szCs w:val="32"/>
        </w:rPr>
        <w:t>实施农村部分计划生育家庭奖励扶助制度、计划生育家庭特别扶助制度，为全市符合计划生育“两项制度”政策人群及时发放扶助资金。2023年计划生育“两项制度”扶助12926人，发放扶助金2294.34万元。缓解</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农村独生子女和双女家庭的养老问题，缓解</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扶助对象在生产、生活、医疗和养老等方面的特殊困难，提高</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家庭发展能力，保障和改善民生，促进社会和谐稳定。</w:t>
      </w:r>
    </w:p>
    <w:p w14:paraId="3AD9AE90">
      <w:pPr>
        <w:keepNext w:val="0"/>
        <w:keepLines w:val="0"/>
        <w:pageBreakBefore w:val="0"/>
        <w:wordWrap/>
        <w:overflowPunct/>
        <w:topLinePunct w:val="0"/>
        <w:bidi w:val="0"/>
        <w:spacing w:line="240" w:lineRule="auto"/>
        <w:ind w:firstLine="643" w:firstLineChars="200"/>
        <w:rPr>
          <w:rFonts w:ascii="楷体" w:hAnsi="楷体" w:eastAsia="楷体" w:cs="楷体"/>
          <w:b/>
          <w:bCs/>
          <w:sz w:val="32"/>
          <w:szCs w:val="40"/>
        </w:rPr>
      </w:pPr>
      <w:r>
        <w:rPr>
          <w:rFonts w:hint="eastAsia" w:ascii="楷体" w:hAnsi="楷体" w:eastAsia="楷体" w:cs="楷体"/>
          <w:b/>
          <w:bCs/>
          <w:sz w:val="32"/>
          <w:szCs w:val="40"/>
        </w:rPr>
        <w:t>（</w:t>
      </w:r>
      <w:r>
        <w:rPr>
          <w:rFonts w:hint="eastAsia" w:ascii="楷体" w:hAnsi="楷体" w:eastAsia="楷体" w:cs="楷体"/>
          <w:b/>
          <w:bCs/>
          <w:sz w:val="32"/>
          <w:szCs w:val="40"/>
          <w:lang w:eastAsia="zh-CN"/>
        </w:rPr>
        <w:t>四</w:t>
      </w:r>
      <w:r>
        <w:rPr>
          <w:rFonts w:hint="eastAsia" w:ascii="楷体" w:hAnsi="楷体" w:eastAsia="楷体" w:cs="楷体"/>
          <w:b/>
          <w:bCs/>
          <w:sz w:val="32"/>
          <w:szCs w:val="40"/>
        </w:rPr>
        <w:t>）绩效</w:t>
      </w:r>
      <w:r>
        <w:rPr>
          <w:rFonts w:hint="eastAsia" w:ascii="楷体" w:hAnsi="楷体" w:eastAsia="楷体" w:cs="楷体"/>
          <w:b/>
          <w:bCs/>
          <w:sz w:val="32"/>
          <w:szCs w:val="40"/>
          <w:lang w:eastAsia="zh-CN"/>
        </w:rPr>
        <w:t>指标完成</w:t>
      </w:r>
      <w:r>
        <w:rPr>
          <w:rFonts w:hint="eastAsia" w:ascii="楷体" w:hAnsi="楷体" w:eastAsia="楷体" w:cs="楷体"/>
          <w:b/>
          <w:bCs/>
          <w:sz w:val="32"/>
          <w:szCs w:val="40"/>
        </w:rPr>
        <w:t>情况</w:t>
      </w:r>
    </w:p>
    <w:p w14:paraId="2572F9B2">
      <w:pPr>
        <w:keepNext w:val="0"/>
        <w:keepLines w:val="0"/>
        <w:pageBreakBefore w:val="0"/>
        <w:wordWrap/>
        <w:overflowPunct/>
        <w:topLinePunct w:val="0"/>
        <w:bidi w:val="0"/>
        <w:spacing w:line="240" w:lineRule="auto"/>
        <w:ind w:left="0" w:leftChars="0" w:firstLine="643" w:firstLineChars="200"/>
        <w:rPr>
          <w:rFonts w:ascii="仿宋" w:hAnsi="仿宋" w:eastAsia="仿宋"/>
          <w:sz w:val="32"/>
          <w:szCs w:val="32"/>
        </w:rPr>
      </w:pPr>
      <w:r>
        <w:rPr>
          <w:rFonts w:hint="eastAsia" w:ascii="Times New Roman" w:hAnsi="Times New Roman" w:eastAsia="楷体_GB2312" w:cs="Times New Roman"/>
          <w:b/>
          <w:bCs w:val="0"/>
          <w:color w:val="auto"/>
          <w:sz w:val="32"/>
          <w:szCs w:val="32"/>
          <w:lang w:val="en-US" w:eastAsia="zh-CN"/>
        </w:rPr>
        <w:t xml:space="preserve"> </w:t>
      </w:r>
      <w:r>
        <w:rPr>
          <w:rFonts w:hint="eastAsia" w:ascii="仿宋" w:hAnsi="仿宋" w:eastAsia="仿宋" w:cs="仿宋"/>
          <w:sz w:val="32"/>
          <w:lang w:val="en-US" w:eastAsia="zh-CN"/>
        </w:rPr>
        <w:t>1.</w:t>
      </w:r>
      <w:r>
        <w:rPr>
          <w:rFonts w:ascii="仿宋" w:hAnsi="仿宋" w:eastAsia="仿宋" w:cs="仿宋"/>
          <w:sz w:val="32"/>
        </w:rPr>
        <w:t>产出指标完成情况</w:t>
      </w:r>
    </w:p>
    <w:p w14:paraId="62DEAA8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cs="仿宋"/>
          <w:sz w:val="32"/>
        </w:rPr>
      </w:pPr>
      <w:r>
        <w:rPr>
          <w:rFonts w:hint="eastAsia" w:ascii="仿宋" w:hAnsi="仿宋" w:eastAsia="仿宋" w:cs="仿宋"/>
          <w:sz w:val="32"/>
          <w:lang w:eastAsia="zh-CN"/>
        </w:rPr>
        <w:t>（</w:t>
      </w:r>
      <w:r>
        <w:rPr>
          <w:rFonts w:ascii="仿宋" w:hAnsi="仿宋" w:eastAsia="仿宋" w:cs="仿宋"/>
          <w:sz w:val="32"/>
        </w:rPr>
        <w:t>1</w:t>
      </w:r>
      <w:r>
        <w:rPr>
          <w:rFonts w:hint="eastAsia" w:ascii="仿宋" w:hAnsi="仿宋" w:eastAsia="仿宋" w:cs="仿宋"/>
          <w:sz w:val="32"/>
          <w:lang w:eastAsia="zh-CN"/>
        </w:rPr>
        <w:t>）</w:t>
      </w:r>
      <w:r>
        <w:rPr>
          <w:rFonts w:ascii="仿宋" w:hAnsi="仿宋" w:eastAsia="仿宋" w:cs="仿宋"/>
          <w:sz w:val="32"/>
        </w:rPr>
        <w:t>数量指标</w:t>
      </w:r>
    </w:p>
    <w:p w14:paraId="0EF1D76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年，全市共确认奖励扶助</w:t>
      </w:r>
      <w:r>
        <w:rPr>
          <w:rFonts w:hint="eastAsia" w:ascii="仿宋" w:hAnsi="仿宋" w:eastAsia="仿宋" w:cs="仿宋"/>
          <w:sz w:val="32"/>
          <w:szCs w:val="32"/>
          <w:lang w:val="en-US" w:eastAsia="zh-CN"/>
        </w:rPr>
        <w:t>11577</w:t>
      </w:r>
      <w:r>
        <w:rPr>
          <w:rFonts w:hint="eastAsia" w:ascii="仿宋" w:hAnsi="仿宋" w:eastAsia="仿宋" w:cs="仿宋"/>
          <w:sz w:val="32"/>
          <w:szCs w:val="32"/>
        </w:rPr>
        <w:t>人</w:t>
      </w:r>
      <w:r>
        <w:rPr>
          <w:rFonts w:hint="eastAsia" w:ascii="仿宋" w:hAnsi="仿宋" w:eastAsia="仿宋" w:cs="仿宋"/>
          <w:sz w:val="32"/>
          <w:szCs w:val="32"/>
          <w:lang w:eastAsia="zh-CN"/>
        </w:rPr>
        <w:t>（指标值：</w:t>
      </w:r>
      <w:r>
        <w:rPr>
          <w:rFonts w:hint="eastAsia" w:ascii="仿宋" w:hAnsi="仿宋" w:eastAsia="仿宋" w:cs="仿宋"/>
          <w:sz w:val="32"/>
          <w:szCs w:val="32"/>
          <w:lang w:val="en-US" w:eastAsia="zh-CN"/>
        </w:rPr>
        <w:t>11577人</w:t>
      </w:r>
      <w:r>
        <w:rPr>
          <w:rFonts w:hint="eastAsia" w:ascii="仿宋" w:hAnsi="仿宋" w:eastAsia="仿宋" w:cs="仿宋"/>
          <w:sz w:val="32"/>
          <w:szCs w:val="32"/>
          <w:lang w:eastAsia="zh-CN"/>
        </w:rPr>
        <w:t>）</w:t>
      </w:r>
      <w:r>
        <w:rPr>
          <w:rFonts w:hint="eastAsia" w:ascii="仿宋" w:hAnsi="仿宋" w:eastAsia="仿宋" w:cs="仿宋"/>
          <w:sz w:val="32"/>
          <w:szCs w:val="32"/>
        </w:rPr>
        <w:t>、特别扶助对象</w:t>
      </w:r>
      <w:r>
        <w:rPr>
          <w:rFonts w:hint="eastAsia" w:ascii="仿宋" w:hAnsi="仿宋" w:eastAsia="仿宋" w:cs="仿宋"/>
          <w:sz w:val="32"/>
          <w:szCs w:val="32"/>
          <w:lang w:val="en-US" w:eastAsia="zh-CN"/>
        </w:rPr>
        <w:t>1349</w:t>
      </w:r>
      <w:r>
        <w:rPr>
          <w:rFonts w:hint="eastAsia" w:ascii="仿宋" w:hAnsi="仿宋" w:eastAsia="仿宋" w:cs="仿宋"/>
          <w:sz w:val="32"/>
          <w:szCs w:val="32"/>
        </w:rPr>
        <w:t>人</w:t>
      </w:r>
      <w:r>
        <w:rPr>
          <w:rFonts w:hint="eastAsia" w:ascii="仿宋" w:hAnsi="仿宋" w:eastAsia="仿宋" w:cs="仿宋"/>
          <w:sz w:val="32"/>
          <w:szCs w:val="32"/>
          <w:lang w:eastAsia="zh-CN"/>
        </w:rPr>
        <w:t>（其中独生子女伤残家庭人数</w:t>
      </w:r>
      <w:r>
        <w:rPr>
          <w:rFonts w:hint="eastAsia" w:ascii="仿宋" w:hAnsi="仿宋" w:eastAsia="仿宋" w:cs="仿宋"/>
          <w:sz w:val="32"/>
          <w:szCs w:val="32"/>
          <w:lang w:val="en-US" w:eastAsia="zh-CN"/>
        </w:rPr>
        <w:t>502人，独生子女死亡家庭人数847人</w:t>
      </w:r>
      <w:r>
        <w:rPr>
          <w:rFonts w:hint="eastAsia" w:ascii="仿宋" w:hAnsi="仿宋" w:eastAsia="仿宋" w:cs="仿宋"/>
          <w:sz w:val="32"/>
          <w:szCs w:val="32"/>
          <w:lang w:eastAsia="zh-CN"/>
        </w:rPr>
        <w:t>）（指标值：</w:t>
      </w:r>
      <w:r>
        <w:rPr>
          <w:rFonts w:hint="eastAsia" w:ascii="仿宋" w:hAnsi="仿宋" w:eastAsia="仿宋" w:cs="仿宋"/>
          <w:sz w:val="32"/>
          <w:szCs w:val="32"/>
          <w:lang w:val="en-US" w:eastAsia="zh-CN"/>
        </w:rPr>
        <w:t>502人，847人</w:t>
      </w:r>
      <w:r>
        <w:rPr>
          <w:rFonts w:hint="eastAsia" w:ascii="仿宋" w:hAnsi="仿宋" w:eastAsia="仿宋" w:cs="仿宋"/>
          <w:sz w:val="32"/>
          <w:szCs w:val="32"/>
          <w:lang w:eastAsia="zh-CN"/>
        </w:rPr>
        <w:t>），计划生育手术并发症人数</w:t>
      </w:r>
      <w:r>
        <w:rPr>
          <w:rFonts w:hint="eastAsia" w:ascii="仿宋" w:hAnsi="仿宋" w:eastAsia="仿宋" w:cs="仿宋"/>
          <w:sz w:val="32"/>
          <w:szCs w:val="32"/>
          <w:lang w:val="en-US" w:eastAsia="zh-CN"/>
        </w:rPr>
        <w:t>43人（指标值：43人）。以上指标全部完成年度目标。</w:t>
      </w:r>
    </w:p>
    <w:p w14:paraId="5D16512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独生子女父母奖励户</w:t>
      </w:r>
      <w:r>
        <w:rPr>
          <w:rFonts w:hint="eastAsia" w:ascii="仿宋" w:hAnsi="仿宋" w:eastAsia="仿宋" w:cs="仿宋"/>
          <w:color w:val="auto"/>
          <w:sz w:val="32"/>
          <w:szCs w:val="32"/>
          <w:lang w:val="en-US" w:eastAsia="zh-CN"/>
        </w:rPr>
        <w:t>数742户（指标值</w:t>
      </w:r>
      <w:r>
        <w:rPr>
          <w:rFonts w:hint="eastAsia" w:ascii="仿宋" w:hAnsi="仿宋" w:eastAsia="仿宋" w:cs="仿宋"/>
          <w:sz w:val="32"/>
          <w:szCs w:val="32"/>
          <w:lang w:val="en-US" w:eastAsia="zh-CN"/>
        </w:rPr>
        <w:t>：1151户），与绩效目标值偏离较大。</w:t>
      </w:r>
    </w:p>
    <w:p w14:paraId="2A861D2E">
      <w:pPr>
        <w:keepNext w:val="0"/>
        <w:keepLines w:val="0"/>
        <w:pageBreakBefore w:val="0"/>
        <w:numPr>
          <w:ilvl w:val="0"/>
          <w:numId w:val="0"/>
        </w:numPr>
        <w:wordWrap/>
        <w:overflowPunct/>
        <w:topLinePunct w:val="0"/>
        <w:bidi w:val="0"/>
        <w:spacing w:line="24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（2）质量指标</w:t>
      </w:r>
    </w:p>
    <w:p w14:paraId="0841AA8F">
      <w:pPr>
        <w:keepNext w:val="0"/>
        <w:keepLines w:val="0"/>
        <w:pageBreakBefore w:val="0"/>
        <w:wordWrap/>
        <w:overflowPunct/>
        <w:topLinePunct w:val="0"/>
        <w:bidi w:val="0"/>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rPr>
        <w:t>我</w:t>
      </w:r>
      <w:r>
        <w:rPr>
          <w:rFonts w:hint="eastAsia" w:ascii="仿宋" w:hAnsi="仿宋" w:eastAsia="仿宋" w:cs="仿宋"/>
          <w:sz w:val="32"/>
          <w:szCs w:val="32"/>
        </w:rPr>
        <w:t>市始终坚持扶助对象资格确认嘎查村、苏木乡镇、旗县区三级审核审查制度和程序公开透明公示制度，确保扶助对象</w:t>
      </w:r>
      <w:r>
        <w:rPr>
          <w:rFonts w:hint="eastAsia" w:ascii="仿宋" w:hAnsi="仿宋" w:eastAsia="仿宋" w:cs="仿宋"/>
          <w:sz w:val="32"/>
          <w:szCs w:val="40"/>
        </w:rPr>
        <w:t>应享尽享，</w:t>
      </w:r>
      <w:r>
        <w:rPr>
          <w:rFonts w:hint="eastAsia" w:ascii="仿宋" w:hAnsi="仿宋" w:eastAsia="仿宋" w:cs="仿宋"/>
          <w:sz w:val="32"/>
          <w:szCs w:val="32"/>
        </w:rPr>
        <w:t>没有虚报、错报情况。</w:t>
      </w:r>
      <w:r>
        <w:rPr>
          <w:rFonts w:hint="eastAsia" w:ascii="仿宋" w:hAnsi="仿宋" w:eastAsia="仿宋" w:cs="仿宋"/>
          <w:i w:val="0"/>
          <w:iCs w:val="0"/>
          <w:color w:val="000000"/>
          <w:kern w:val="0"/>
          <w:sz w:val="32"/>
          <w:szCs w:val="32"/>
          <w:u w:val="none"/>
          <w:lang w:val="en-US" w:eastAsia="zh-CN" w:bidi="ar"/>
        </w:rPr>
        <w:t>符合条件申报对象覆盖率100%（指标值100%）；</w:t>
      </w:r>
      <w:r>
        <w:rPr>
          <w:rFonts w:hint="eastAsia" w:ascii="华文仿宋" w:hAnsi="华文仿宋" w:eastAsia="华文仿宋" w:cs="华文仿宋"/>
          <w:color w:val="000000"/>
          <w:spacing w:val="-3"/>
          <w:sz w:val="32"/>
          <w:szCs w:val="32"/>
        </w:rPr>
        <w:t>扶助资金在12月31日之前由旗县区财政委托代办金融机构，直接打卡发放到每</w:t>
      </w:r>
      <w:r>
        <w:rPr>
          <w:rFonts w:hint="eastAsia" w:ascii="华文仿宋" w:hAnsi="华文仿宋" w:eastAsia="华文仿宋" w:cs="华文仿宋"/>
          <w:color w:val="000000"/>
          <w:spacing w:val="-3"/>
          <w:sz w:val="32"/>
          <w:szCs w:val="32"/>
          <w:lang w:eastAsia="zh-CN"/>
        </w:rPr>
        <w:t>位扶助</w:t>
      </w:r>
      <w:r>
        <w:rPr>
          <w:rFonts w:hint="eastAsia" w:ascii="华文仿宋" w:hAnsi="华文仿宋" w:eastAsia="华文仿宋" w:cs="华文仿宋"/>
          <w:color w:val="000000"/>
          <w:spacing w:val="-3"/>
          <w:sz w:val="32"/>
          <w:szCs w:val="32"/>
        </w:rPr>
        <w:t>对象手中，</w:t>
      </w:r>
      <w:r>
        <w:rPr>
          <w:rFonts w:hint="eastAsia" w:ascii="华文仿宋" w:hAnsi="华文仿宋" w:eastAsia="华文仿宋" w:cs="华文仿宋"/>
          <w:color w:val="000000"/>
          <w:spacing w:val="-3"/>
          <w:sz w:val="32"/>
          <w:szCs w:val="32"/>
          <w:lang w:eastAsia="zh-CN"/>
        </w:rPr>
        <w:t>扶助</w:t>
      </w:r>
      <w:r>
        <w:rPr>
          <w:rFonts w:hint="eastAsia" w:ascii="华文仿宋" w:hAnsi="华文仿宋" w:eastAsia="华文仿宋" w:cs="华文仿宋"/>
          <w:color w:val="000000"/>
          <w:spacing w:val="-3"/>
          <w:sz w:val="32"/>
          <w:szCs w:val="32"/>
        </w:rPr>
        <w:t>资金从预算、拨</w:t>
      </w:r>
      <w:r>
        <w:rPr>
          <w:rFonts w:hint="eastAsia" w:ascii="华文仿宋" w:hAnsi="华文仿宋" w:eastAsia="华文仿宋" w:cs="华文仿宋"/>
          <w:color w:val="000000"/>
          <w:spacing w:val="-3"/>
          <w:sz w:val="32"/>
          <w:szCs w:val="32"/>
          <w:lang w:eastAsia="zh-CN"/>
        </w:rPr>
        <w:t>付</w:t>
      </w:r>
      <w:r>
        <w:rPr>
          <w:rFonts w:hint="eastAsia" w:ascii="华文仿宋" w:hAnsi="华文仿宋" w:eastAsia="华文仿宋" w:cs="华文仿宋"/>
          <w:color w:val="000000"/>
          <w:spacing w:val="-3"/>
          <w:sz w:val="32"/>
          <w:szCs w:val="32"/>
        </w:rPr>
        <w:t>、到发放每个人手中，建立了一整套资金运作流程和管理监督机制，无任何中间环节，</w:t>
      </w:r>
      <w:r>
        <w:rPr>
          <w:rFonts w:hint="eastAsia" w:ascii="华文仿宋" w:hAnsi="华文仿宋" w:eastAsia="华文仿宋" w:cs="华文仿宋"/>
          <w:color w:val="000000"/>
          <w:spacing w:val="-3"/>
          <w:sz w:val="32"/>
          <w:szCs w:val="32"/>
          <w:lang w:eastAsia="zh-CN"/>
        </w:rPr>
        <w:t>以</w:t>
      </w:r>
      <w:r>
        <w:rPr>
          <w:rFonts w:hint="eastAsia" w:ascii="华文仿宋" w:hAnsi="华文仿宋" w:eastAsia="华文仿宋" w:cs="华文仿宋"/>
          <w:color w:val="000000"/>
          <w:spacing w:val="-3"/>
          <w:sz w:val="32"/>
          <w:szCs w:val="32"/>
        </w:rPr>
        <w:t>“直通车”形式发放到每个对象。</w:t>
      </w:r>
      <w:r>
        <w:rPr>
          <w:rFonts w:hint="eastAsia" w:ascii="仿宋" w:hAnsi="仿宋" w:eastAsia="仿宋" w:cs="仿宋"/>
          <w:i w:val="0"/>
          <w:iCs w:val="0"/>
          <w:color w:val="000000"/>
          <w:kern w:val="0"/>
          <w:sz w:val="32"/>
          <w:szCs w:val="32"/>
          <w:u w:val="none"/>
          <w:lang w:val="en-US" w:eastAsia="zh-CN" w:bidi="ar"/>
        </w:rPr>
        <w:t>奖励和扶助资金到位率100%（</w:t>
      </w:r>
      <w:r>
        <w:rPr>
          <w:rFonts w:hint="eastAsia" w:ascii="仿宋" w:hAnsi="仿宋" w:eastAsia="仿宋" w:cs="仿宋"/>
          <w:sz w:val="32"/>
          <w:szCs w:val="32"/>
          <w:lang w:val="en-US" w:eastAsia="zh-CN"/>
        </w:rPr>
        <w:t>指标值100%</w:t>
      </w:r>
      <w:r>
        <w:rPr>
          <w:rFonts w:hint="eastAsia" w:ascii="仿宋" w:hAnsi="仿宋" w:eastAsia="仿宋" w:cs="仿宋"/>
          <w:i w:val="0"/>
          <w:iCs w:val="0"/>
          <w:color w:val="000000"/>
          <w:kern w:val="0"/>
          <w:sz w:val="32"/>
          <w:szCs w:val="32"/>
          <w:u w:val="none"/>
          <w:lang w:val="en-US" w:eastAsia="zh-CN" w:bidi="ar"/>
        </w:rPr>
        <w:t>）。</w:t>
      </w:r>
      <w:r>
        <w:rPr>
          <w:rFonts w:hint="eastAsia" w:ascii="仿宋" w:hAnsi="仿宋" w:eastAsia="仿宋" w:cs="仿宋"/>
          <w:sz w:val="32"/>
          <w:szCs w:val="32"/>
          <w:lang w:val="en-US" w:eastAsia="zh-CN"/>
        </w:rPr>
        <w:t>全部完成年度目标。</w:t>
      </w:r>
    </w:p>
    <w:p w14:paraId="465B5C76">
      <w:pPr>
        <w:keepNext w:val="0"/>
        <w:keepLines w:val="0"/>
        <w:pageBreakBefore w:val="0"/>
        <w:numPr>
          <w:ilvl w:val="0"/>
          <w:numId w:val="1"/>
        </w:numPr>
        <w:wordWrap/>
        <w:overflowPunct/>
        <w:topLinePunct w:val="0"/>
        <w:bidi w:val="0"/>
        <w:spacing w:line="24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时效指标</w:t>
      </w:r>
    </w:p>
    <w:p w14:paraId="6DEB4D00">
      <w:pPr>
        <w:keepNext w:val="0"/>
        <w:keepLines w:val="0"/>
        <w:pageBreakBefore w:val="0"/>
        <w:numPr>
          <w:ilvl w:val="0"/>
          <w:numId w:val="0"/>
        </w:numPr>
        <w:wordWrap/>
        <w:overflowPunct/>
        <w:topLinePunct w:val="0"/>
        <w:bidi w:val="0"/>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2023年1月-4月期间，各旗县区开展</w:t>
      </w:r>
      <w:r>
        <w:rPr>
          <w:rFonts w:hint="eastAsia" w:ascii="仿宋" w:hAnsi="仿宋" w:eastAsia="仿宋" w:cs="仿宋"/>
          <w:i w:val="0"/>
          <w:iCs w:val="0"/>
          <w:color w:val="000000"/>
          <w:kern w:val="0"/>
          <w:sz w:val="32"/>
          <w:szCs w:val="32"/>
          <w:u w:val="none"/>
          <w:lang w:val="en-US" w:eastAsia="zh-CN" w:bidi="ar"/>
        </w:rPr>
        <w:t>计划生育政策补助人群申报、核查工作，</w:t>
      </w:r>
      <w:r>
        <w:rPr>
          <w:rFonts w:hint="eastAsia" w:ascii="仿宋" w:hAnsi="仿宋" w:eastAsia="仿宋" w:cs="仿宋"/>
          <w:sz w:val="32"/>
          <w:szCs w:val="32"/>
          <w:lang w:eastAsia="zh-CN"/>
        </w:rPr>
        <w:t>各</w:t>
      </w:r>
      <w:r>
        <w:rPr>
          <w:rFonts w:hint="eastAsia" w:ascii="仿宋" w:hAnsi="仿宋" w:eastAsia="仿宋" w:cs="仿宋"/>
          <w:sz w:val="32"/>
          <w:szCs w:val="32"/>
        </w:rPr>
        <w:t>旗县区</w:t>
      </w:r>
      <w:r>
        <w:rPr>
          <w:rFonts w:hint="eastAsia" w:ascii="仿宋" w:hAnsi="仿宋" w:eastAsia="仿宋" w:cs="仿宋"/>
          <w:sz w:val="32"/>
          <w:szCs w:val="32"/>
          <w:lang w:eastAsia="zh-CN"/>
        </w:rPr>
        <w:t>对</w:t>
      </w:r>
      <w:r>
        <w:rPr>
          <w:rFonts w:hint="eastAsia" w:ascii="仿宋" w:hAnsi="仿宋" w:eastAsia="仿宋" w:cs="仿宋"/>
          <w:sz w:val="32"/>
          <w:szCs w:val="32"/>
        </w:rPr>
        <w:t>各苏木乡镇提供的奖扶对象档案材料</w:t>
      </w:r>
      <w:r>
        <w:rPr>
          <w:rFonts w:hint="eastAsia" w:ascii="仿宋" w:hAnsi="仿宋" w:eastAsia="仿宋" w:cs="仿宋"/>
          <w:sz w:val="32"/>
          <w:szCs w:val="32"/>
          <w:lang w:eastAsia="zh-CN"/>
        </w:rPr>
        <w:t>进行核实、公示</w:t>
      </w:r>
      <w:r>
        <w:rPr>
          <w:rFonts w:hint="eastAsia" w:ascii="仿宋" w:hAnsi="仿宋" w:eastAsia="仿宋" w:cs="仿宋"/>
          <w:sz w:val="32"/>
          <w:szCs w:val="32"/>
        </w:rPr>
        <w:t>，确认无误后，经各旗县区审议通过后将资格确认资金预算文件报市卫健委备案，同时各旗县区卫生健康委在Padis系统上录入当年新增奖扶对象信息</w:t>
      </w:r>
      <w:r>
        <w:rPr>
          <w:rFonts w:hint="eastAsia" w:ascii="仿宋" w:hAnsi="仿宋" w:eastAsia="仿宋" w:cs="仿宋"/>
          <w:i w:val="0"/>
          <w:iCs w:val="0"/>
          <w:color w:val="000000"/>
          <w:kern w:val="0"/>
          <w:sz w:val="32"/>
          <w:szCs w:val="32"/>
          <w:u w:val="none"/>
          <w:lang w:val="en-US" w:eastAsia="zh-CN" w:bidi="ar"/>
        </w:rPr>
        <w:t>。全市计划生育政策补助人群核查工作2023年4月底前完成（指标值：完成时间2023年4月）；2023年</w:t>
      </w:r>
      <w:r>
        <w:rPr>
          <w:rFonts w:hint="eastAsia" w:ascii="华文仿宋" w:hAnsi="华文仿宋" w:eastAsia="华文仿宋" w:cs="华文仿宋"/>
          <w:color w:val="000000"/>
          <w:spacing w:val="-3"/>
          <w:sz w:val="32"/>
          <w:szCs w:val="32"/>
        </w:rPr>
        <w:t>12月31日前</w:t>
      </w:r>
      <w:r>
        <w:rPr>
          <w:rFonts w:hint="eastAsia" w:ascii="华文仿宋" w:hAnsi="华文仿宋" w:eastAsia="华文仿宋" w:cs="华文仿宋"/>
          <w:color w:val="000000"/>
          <w:spacing w:val="-3"/>
          <w:sz w:val="32"/>
          <w:szCs w:val="32"/>
          <w:lang w:eastAsia="zh-CN"/>
        </w:rPr>
        <w:t>，</w:t>
      </w:r>
      <w:r>
        <w:rPr>
          <w:rFonts w:hint="eastAsia" w:ascii="华文仿宋" w:hAnsi="华文仿宋" w:eastAsia="华文仿宋" w:cs="华文仿宋"/>
          <w:color w:val="000000"/>
          <w:spacing w:val="-3"/>
          <w:sz w:val="32"/>
          <w:szCs w:val="32"/>
        </w:rPr>
        <w:t>旗县区财政委托代办金融机构，</w:t>
      </w:r>
      <w:r>
        <w:rPr>
          <w:rFonts w:hint="eastAsia" w:ascii="华文仿宋" w:hAnsi="华文仿宋" w:eastAsia="华文仿宋" w:cs="华文仿宋"/>
          <w:color w:val="000000"/>
          <w:spacing w:val="-3"/>
          <w:sz w:val="32"/>
          <w:szCs w:val="32"/>
          <w:lang w:eastAsia="zh-CN"/>
        </w:rPr>
        <w:t>通过“直通车”形式</w:t>
      </w:r>
      <w:r>
        <w:rPr>
          <w:rFonts w:hint="eastAsia" w:ascii="华文仿宋" w:hAnsi="华文仿宋" w:eastAsia="华文仿宋" w:cs="华文仿宋"/>
          <w:color w:val="000000"/>
          <w:spacing w:val="-3"/>
          <w:sz w:val="32"/>
          <w:szCs w:val="32"/>
        </w:rPr>
        <w:t>直接</w:t>
      </w:r>
      <w:r>
        <w:rPr>
          <w:rFonts w:hint="eastAsia" w:ascii="华文仿宋" w:hAnsi="华文仿宋" w:eastAsia="华文仿宋" w:cs="华文仿宋"/>
          <w:color w:val="000000"/>
          <w:spacing w:val="-3"/>
          <w:sz w:val="32"/>
          <w:szCs w:val="32"/>
          <w:lang w:eastAsia="zh-CN"/>
        </w:rPr>
        <w:t>将扶助资金</w:t>
      </w:r>
      <w:r>
        <w:rPr>
          <w:rFonts w:hint="eastAsia" w:ascii="华文仿宋" w:hAnsi="华文仿宋" w:eastAsia="华文仿宋" w:cs="华文仿宋"/>
          <w:color w:val="000000"/>
          <w:spacing w:val="-3"/>
          <w:sz w:val="32"/>
          <w:szCs w:val="32"/>
        </w:rPr>
        <w:t>发放到</w:t>
      </w:r>
      <w:r>
        <w:rPr>
          <w:rFonts w:hint="eastAsia" w:ascii="华文仿宋" w:hAnsi="华文仿宋" w:eastAsia="华文仿宋" w:cs="华文仿宋"/>
          <w:color w:val="000000"/>
          <w:spacing w:val="-3"/>
          <w:sz w:val="32"/>
          <w:szCs w:val="32"/>
          <w:lang w:eastAsia="zh-CN"/>
        </w:rPr>
        <w:t>扶助</w:t>
      </w:r>
      <w:r>
        <w:rPr>
          <w:rFonts w:hint="eastAsia" w:ascii="华文仿宋" w:hAnsi="华文仿宋" w:eastAsia="华文仿宋" w:cs="华文仿宋"/>
          <w:color w:val="000000"/>
          <w:spacing w:val="-3"/>
          <w:sz w:val="32"/>
          <w:szCs w:val="32"/>
        </w:rPr>
        <w:t>对象</w:t>
      </w:r>
      <w:r>
        <w:rPr>
          <w:rFonts w:hint="eastAsia" w:ascii="华文仿宋" w:hAnsi="华文仿宋" w:eastAsia="华文仿宋" w:cs="华文仿宋"/>
          <w:color w:val="000000"/>
          <w:spacing w:val="-3"/>
          <w:sz w:val="32"/>
          <w:szCs w:val="32"/>
          <w:lang w:eastAsia="zh-CN"/>
        </w:rPr>
        <w:t>卡</w:t>
      </w:r>
      <w:r>
        <w:rPr>
          <w:rFonts w:hint="eastAsia" w:ascii="华文仿宋" w:hAnsi="华文仿宋" w:eastAsia="华文仿宋" w:cs="华文仿宋"/>
          <w:color w:val="000000"/>
          <w:spacing w:val="-3"/>
          <w:sz w:val="32"/>
          <w:szCs w:val="32"/>
        </w:rPr>
        <w:t>中</w:t>
      </w:r>
      <w:r>
        <w:rPr>
          <w:rFonts w:hint="eastAsia" w:ascii="华文仿宋" w:hAnsi="华文仿宋" w:eastAsia="华文仿宋" w:cs="华文仿宋"/>
          <w:color w:val="000000"/>
          <w:spacing w:val="-3"/>
          <w:sz w:val="32"/>
          <w:szCs w:val="32"/>
          <w:lang w:eastAsia="zh-CN"/>
        </w:rPr>
        <w:t>，</w:t>
      </w:r>
      <w:r>
        <w:rPr>
          <w:rFonts w:hint="eastAsia" w:ascii="仿宋" w:hAnsi="仿宋" w:eastAsia="仿宋" w:cs="仿宋"/>
          <w:i w:val="0"/>
          <w:iCs w:val="0"/>
          <w:color w:val="000000"/>
          <w:kern w:val="0"/>
          <w:sz w:val="32"/>
          <w:szCs w:val="32"/>
          <w:u w:val="none"/>
          <w:lang w:val="en-US" w:eastAsia="zh-CN" w:bidi="ar"/>
        </w:rPr>
        <w:t>完成计划生育政策补助人群补助金发放工作（指标值：完成时间2023年12月），项目整体工作完成（指标值：完成时间2023年12月）。全部完成年度目标。</w:t>
      </w:r>
    </w:p>
    <w:p w14:paraId="4FEE633F">
      <w:pPr>
        <w:keepNext w:val="0"/>
        <w:keepLines w:val="0"/>
        <w:pageBreakBefore w:val="0"/>
        <w:numPr>
          <w:ilvl w:val="0"/>
          <w:numId w:val="1"/>
        </w:numPr>
        <w:wordWrap/>
        <w:overflowPunct/>
        <w:topLinePunct w:val="0"/>
        <w:bidi w:val="0"/>
        <w:spacing w:line="240" w:lineRule="auto"/>
        <w:ind w:left="0" w:leftChars="0" w:firstLine="640" w:firstLineChars="200"/>
        <w:rPr>
          <w:rFonts w:ascii="仿宋" w:hAnsi="仿宋" w:eastAsia="仿宋" w:cs="仿宋"/>
          <w:sz w:val="32"/>
        </w:rPr>
      </w:pPr>
      <w:r>
        <w:rPr>
          <w:rFonts w:ascii="仿宋" w:hAnsi="仿宋" w:eastAsia="仿宋" w:cs="仿宋"/>
          <w:sz w:val="32"/>
        </w:rPr>
        <w:t>成本指标</w:t>
      </w:r>
    </w:p>
    <w:p w14:paraId="3FA0F05A">
      <w:pPr>
        <w:keepNext w:val="0"/>
        <w:keepLines w:val="0"/>
        <w:pageBreakBefore w:val="0"/>
        <w:numPr>
          <w:ilvl w:val="0"/>
          <w:numId w:val="0"/>
        </w:numPr>
        <w:wordWrap/>
        <w:overflowPunct/>
        <w:topLinePunct w:val="0"/>
        <w:bidi w:val="0"/>
        <w:spacing w:line="240" w:lineRule="auto"/>
        <w:ind w:left="0" w:leftChars="0" w:firstLine="640" w:firstLineChars="200"/>
        <w:jc w:val="both"/>
        <w:rPr>
          <w:rFonts w:hint="default" w:ascii="仿宋" w:hAnsi="仿宋" w:eastAsia="仿宋"/>
          <w:sz w:val="32"/>
          <w:szCs w:val="32"/>
          <w:lang w:val="en-US"/>
        </w:rPr>
      </w:pPr>
      <w:r>
        <w:rPr>
          <w:rFonts w:hint="eastAsia" w:ascii="仿宋" w:hAnsi="仿宋" w:eastAsia="仿宋" w:cs="仿宋"/>
          <w:i w:val="0"/>
          <w:iCs w:val="0"/>
          <w:color w:val="000000"/>
          <w:kern w:val="0"/>
          <w:sz w:val="32"/>
          <w:szCs w:val="32"/>
          <w:u w:val="none"/>
          <w:lang w:val="en-US" w:eastAsia="zh-CN" w:bidi="ar"/>
        </w:rPr>
        <w:t>计划生育奖励扶助标准每人每年960元，计划生育特别扶助（独生子女死亡家庭）标准每人每年9540元，计划生育特别扶助（独生子女伤残家庭）标准每人每年7560元，计划生育手术并发症补助标准一级伤残每人每年6240元，二级伤残每人每年4680元，三级伤残每人每年3120元。全部按照国家、自治区政策标准发放</w:t>
      </w:r>
      <w:r>
        <w:rPr>
          <w:rFonts w:hint="eastAsia" w:ascii="仿宋" w:hAnsi="仿宋" w:eastAsia="仿宋" w:cs="仿宋"/>
          <w:sz w:val="32"/>
          <w:lang w:eastAsia="zh-CN"/>
        </w:rPr>
        <w:t>。</w:t>
      </w:r>
      <w:r>
        <w:rPr>
          <w:rFonts w:hint="eastAsia" w:ascii="仿宋" w:hAnsi="仿宋" w:eastAsia="仿宋" w:cs="仿宋"/>
          <w:sz w:val="32"/>
          <w:lang w:val="en-US" w:eastAsia="zh-CN"/>
        </w:rPr>
        <w:t>完成年度目标。</w:t>
      </w:r>
    </w:p>
    <w:p w14:paraId="2D3C8EA6">
      <w:pPr>
        <w:keepNext w:val="0"/>
        <w:keepLines w:val="0"/>
        <w:pageBreakBefore w:val="0"/>
        <w:wordWrap/>
        <w:overflowPunct/>
        <w:topLinePunct w:val="0"/>
        <w:bidi w:val="0"/>
        <w:spacing w:line="240" w:lineRule="auto"/>
        <w:ind w:left="0" w:leftChars="0" w:firstLine="640" w:firstLineChars="200"/>
        <w:rPr>
          <w:rFonts w:ascii="仿宋" w:hAnsi="仿宋" w:eastAsia="仿宋"/>
          <w:sz w:val="32"/>
          <w:szCs w:val="32"/>
        </w:rPr>
      </w:pPr>
      <w:r>
        <w:rPr>
          <w:rFonts w:hint="eastAsia" w:ascii="仿宋" w:hAnsi="仿宋" w:eastAsia="仿宋" w:cs="仿宋"/>
          <w:sz w:val="32"/>
          <w:lang w:val="en-US" w:eastAsia="zh-CN"/>
        </w:rPr>
        <w:t>2.</w:t>
      </w:r>
      <w:r>
        <w:rPr>
          <w:rFonts w:ascii="仿宋" w:hAnsi="仿宋" w:eastAsia="仿宋" w:cs="仿宋"/>
          <w:sz w:val="32"/>
        </w:rPr>
        <w:t>效益指标完成情况</w:t>
      </w:r>
    </w:p>
    <w:p w14:paraId="733F7CA7">
      <w:pPr>
        <w:keepNext w:val="0"/>
        <w:keepLines w:val="0"/>
        <w:pageBreakBefore w:val="0"/>
        <w:numPr>
          <w:ilvl w:val="0"/>
          <w:numId w:val="0"/>
        </w:numPr>
        <w:wordWrap/>
        <w:overflowPunct/>
        <w:topLinePunct w:val="0"/>
        <w:bidi w:val="0"/>
        <w:spacing w:line="240" w:lineRule="auto"/>
        <w:ind w:left="0" w:leftChars="0" w:firstLine="640" w:firstLineChars="200"/>
        <w:jc w:val="both"/>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（1）社会效益指标</w:t>
      </w:r>
    </w:p>
    <w:p w14:paraId="2E99A02B">
      <w:pPr>
        <w:keepNext w:val="0"/>
        <w:keepLines w:val="0"/>
        <w:pageBreakBefore w:val="0"/>
        <w:numPr>
          <w:ilvl w:val="0"/>
          <w:numId w:val="0"/>
        </w:numPr>
        <w:wordWrap/>
        <w:overflowPunct/>
        <w:topLinePunct w:val="0"/>
        <w:bidi w:val="0"/>
        <w:spacing w:line="240" w:lineRule="auto"/>
        <w:ind w:left="0" w:leftChars="0" w:firstLine="640" w:firstLineChars="200"/>
        <w:jc w:val="both"/>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应享有计划生育政策补助家庭生活水平逐步提高（指标值：有所提高），家庭发展能力逐步提高（指标值：逐步提高）。完成年初目标。</w:t>
      </w:r>
    </w:p>
    <w:p w14:paraId="055DA94D">
      <w:pPr>
        <w:keepNext w:val="0"/>
        <w:keepLines w:val="0"/>
        <w:pageBreakBefore w:val="0"/>
        <w:numPr>
          <w:ilvl w:val="0"/>
          <w:numId w:val="0"/>
        </w:numPr>
        <w:wordWrap/>
        <w:overflowPunct/>
        <w:topLinePunct w:val="0"/>
        <w:bidi w:val="0"/>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（2）可持续影响指标</w:t>
      </w:r>
    </w:p>
    <w:p w14:paraId="05D0C452">
      <w:pPr>
        <w:keepNext w:val="0"/>
        <w:keepLines w:val="0"/>
        <w:pageBreakBefore w:val="0"/>
        <w:wordWrap/>
        <w:overflowPunct/>
        <w:topLinePunct w:val="0"/>
        <w:bidi w:val="0"/>
        <w:spacing w:line="240" w:lineRule="auto"/>
        <w:ind w:firstLine="640" w:firstLineChars="200"/>
        <w:rPr>
          <w:rFonts w:hint="eastAsia" w:ascii="仿宋" w:hAnsi="仿宋" w:eastAsia="仿宋" w:cs="仿宋"/>
          <w:sz w:val="32"/>
          <w:szCs w:val="32"/>
          <w:lang w:val="en-US" w:eastAsia="zh-CN"/>
        </w:rPr>
      </w:pPr>
      <w:r>
        <w:rPr>
          <w:rFonts w:hint="eastAsia" w:ascii="Times New Roman" w:hAnsi="Times New Roman" w:eastAsia="仿宋_GB2312"/>
          <w:color w:val="auto"/>
          <w:sz w:val="32"/>
          <w:szCs w:val="32"/>
          <w:lang w:eastAsia="zh-CN"/>
        </w:rPr>
        <w:t>计划生育“两项制度”政策的实施，</w:t>
      </w:r>
      <w:r>
        <w:rPr>
          <w:rFonts w:hint="eastAsia" w:ascii="Times New Roman" w:hAnsi="Times New Roman" w:eastAsia="仿宋_GB2312"/>
          <w:color w:val="auto"/>
          <w:sz w:val="32"/>
          <w:szCs w:val="32"/>
        </w:rPr>
        <w:t>缓解</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农村独生子女和双女家庭的养老问题，缓解</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扶助对象在生产、生活、医疗和养老等方面的特殊困难，提高</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家庭发展能力，保障和改善民生，促进社会和谐稳定</w:t>
      </w:r>
      <w:r>
        <w:rPr>
          <w:rFonts w:hint="eastAsia" w:ascii="Times New Roman" w:hAnsi="Times New Roman" w:eastAsia="仿宋_GB2312"/>
          <w:color w:val="auto"/>
          <w:sz w:val="32"/>
          <w:szCs w:val="32"/>
          <w:lang w:eastAsia="zh-CN"/>
        </w:rPr>
        <w:t>，</w:t>
      </w:r>
      <w:r>
        <w:rPr>
          <w:rFonts w:hint="eastAsia" w:ascii="仿宋" w:hAnsi="仿宋" w:eastAsia="仿宋" w:cs="仿宋"/>
          <w:i w:val="0"/>
          <w:iCs w:val="0"/>
          <w:color w:val="000000"/>
          <w:kern w:val="0"/>
          <w:sz w:val="32"/>
          <w:szCs w:val="32"/>
          <w:u w:val="none"/>
          <w:lang w:val="en-US" w:eastAsia="zh-CN" w:bidi="ar"/>
        </w:rPr>
        <w:t>社会稳定水平逐步提高</w:t>
      </w:r>
      <w:r>
        <w:rPr>
          <w:rFonts w:hint="eastAsia" w:ascii="仿宋" w:hAnsi="仿宋" w:eastAsia="仿宋" w:cs="仿宋"/>
          <w:sz w:val="32"/>
          <w:szCs w:val="32"/>
          <w:lang w:val="en-US" w:eastAsia="zh-CN"/>
        </w:rPr>
        <w:t>。完成年初目标。</w:t>
      </w:r>
    </w:p>
    <w:p w14:paraId="5523AB2F">
      <w:pPr>
        <w:keepNext w:val="0"/>
        <w:keepLines w:val="0"/>
        <w:pageBreakBefore w:val="0"/>
        <w:numPr>
          <w:ilvl w:val="0"/>
          <w:numId w:val="0"/>
        </w:numPr>
        <w:wordWrap/>
        <w:overflowPunct/>
        <w:topLinePunct w:val="0"/>
        <w:bidi w:val="0"/>
        <w:spacing w:line="240" w:lineRule="auto"/>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3.满意度指标</w:t>
      </w:r>
    </w:p>
    <w:p w14:paraId="024D8F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739" w:firstLineChars="231"/>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主管部门满意度93%(指标值≥90%),计划生育人群满意度94%(指标值≥90%)。完成年初目标。</w:t>
      </w:r>
    </w:p>
    <w:p w14:paraId="278B77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 w:eastAsia="仿宋_GB2312"/>
          <w:b/>
          <w:sz w:val="32"/>
          <w:szCs w:val="32"/>
          <w:lang w:eastAsia="zh-CN"/>
        </w:rPr>
      </w:pPr>
      <w:r>
        <w:rPr>
          <w:rFonts w:hint="eastAsia" w:ascii="仿宋_GB2312" w:hAnsi="仿宋" w:eastAsia="仿宋_GB2312"/>
          <w:b/>
          <w:sz w:val="32"/>
          <w:szCs w:val="32"/>
          <w:lang w:eastAsia="zh-CN"/>
        </w:rPr>
        <w:t>三、评价中发现的主要问题及改进措施</w:t>
      </w:r>
    </w:p>
    <w:p w14:paraId="62E713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（一）偏离绩效目标原因及改进措施</w:t>
      </w:r>
    </w:p>
    <w:p w14:paraId="51F6AD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739" w:firstLineChars="231"/>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巴彦淖尔市2023年计划生育服务项目绩效目标基本完成，符合年初绩效总体目标。中央正式批次资金下达时间超过30天，与年初目标有偏差；独生子女父母奖励户数较年初目标少409户，与绩效目标值偏离较大，其原因为目标值以上年独生子女父母奖励户数确定，未详细分析数据变化趋势，随着2015年“全面两孩政策”的实施和2021年实施一对夫妻可以生育三个子女的政策，享受独生子女父母奖励费的户数在逐年减少，近年符合政策的独生子女家庭数下降明显，简单的按照上年数确定目标值缺乏科学性。下一步将完善资金分配、管理、使用等制度，及时下达资金，加快资金使用进度，提高资金使用效率；认真分析绩效指标，科学、合理确定年度绩效目标。</w:t>
      </w:r>
    </w:p>
    <w:p w14:paraId="13EB9D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（二）项目实施过程中存在的问题及工作建议</w:t>
      </w:r>
    </w:p>
    <w:p w14:paraId="00B8B4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随着目标人群逐年增多，扶助对象涉及面扩大、情况更加复杂，落实“两项制度”工作任务量加大，在资格确认、年审等工作上存在困难。特别是由于户籍制度改革，群众户口变为家庭户，农业户口和非农业户口鉴别上存在困难；部分群众婚育、生育史复杂，人户分离，空挂户，户籍地不明等情况无法开具婚育情况证明，导致资格确认工作难度增加。二是基层工作人员调动频繁且人员有限，亟待通过提高“两项制度”工作信息化建设水平，进一步提升工作质量和效率。</w:t>
      </w:r>
    </w:p>
    <w:p w14:paraId="2636A9D7">
      <w:pPr>
        <w:keepNext w:val="0"/>
        <w:keepLines w:val="0"/>
        <w:pageBreakBefore w:val="0"/>
        <w:numPr>
          <w:ilvl w:val="0"/>
          <w:numId w:val="0"/>
        </w:numPr>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四、绩效自评结果拟应用和公开情况</w:t>
      </w:r>
    </w:p>
    <w:p w14:paraId="3964FB38">
      <w:pPr>
        <w:keepNext w:val="0"/>
        <w:keepLines w:val="0"/>
        <w:pageBreakBefore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市卫生健康委员会2023年度</w:t>
      </w:r>
      <w:r>
        <w:rPr>
          <w:rFonts w:hint="eastAsia" w:ascii="仿宋" w:hAnsi="仿宋" w:eastAsia="仿宋" w:cs="仿宋"/>
          <w:spacing w:val="1"/>
          <w:sz w:val="30"/>
          <w:szCs w:val="30"/>
          <w:lang w:val="en-US" w:eastAsia="zh-CN"/>
        </w:rPr>
        <w:t>计划生育服务</w:t>
      </w:r>
      <w:r>
        <w:rPr>
          <w:rFonts w:hint="eastAsia" w:ascii="仿宋_GB2312" w:hAnsi="仿宋_GB2312" w:eastAsia="仿宋_GB2312" w:cs="仿宋_GB2312"/>
          <w:b w:val="0"/>
          <w:bCs w:val="0"/>
          <w:sz w:val="32"/>
          <w:szCs w:val="40"/>
          <w:lang w:val="en-US" w:eastAsia="zh-CN"/>
        </w:rPr>
        <w:t>转移支付绩效自评分值为97.5分(自评等级：优</w:t>
      </w:r>
      <w:bookmarkStart w:id="0" w:name="_GoBack"/>
      <w:bookmarkEnd w:id="0"/>
      <w:r>
        <w:rPr>
          <w:rFonts w:hint="eastAsia" w:ascii="仿宋_GB2312" w:hAnsi="仿宋_GB2312" w:eastAsia="仿宋_GB2312" w:cs="仿宋_GB2312"/>
          <w:b w:val="0"/>
          <w:bCs w:val="0"/>
          <w:sz w:val="32"/>
          <w:szCs w:val="40"/>
          <w:lang w:val="en-US" w:eastAsia="zh-CN"/>
        </w:rPr>
        <w:t>)。在巴彦淖尔市卫生健康委员会门</w:t>
      </w:r>
      <w:r>
        <w:rPr>
          <w:rFonts w:hint="eastAsia" w:ascii="仿宋_GB2312" w:hAnsi="仿宋_GB2312" w:eastAsia="仿宋_GB2312" w:cs="仿宋_GB2312"/>
          <w:b w:val="0"/>
          <w:bCs w:val="0"/>
          <w:sz w:val="32"/>
          <w:szCs w:val="40"/>
          <w:highlight w:val="none"/>
          <w:lang w:val="en-US" w:eastAsia="zh-CN"/>
        </w:rPr>
        <w:t>户网站</w:t>
      </w:r>
      <w:r>
        <w:rPr>
          <w:rFonts w:hint="eastAsia" w:ascii="仿宋_GB2312" w:hAnsi="仿宋_GB2312" w:eastAsia="仿宋_GB2312" w:cs="仿宋_GB2312"/>
          <w:b w:val="0"/>
          <w:bCs w:val="0"/>
          <w:sz w:val="32"/>
          <w:szCs w:val="40"/>
          <w:lang w:val="en-US" w:eastAsia="zh-CN"/>
        </w:rPr>
        <w:t>公开，同时自评结果作为2024年资金分配的重要依据。</w:t>
      </w:r>
    </w:p>
    <w:p w14:paraId="3414E76A">
      <w:pPr>
        <w:keepNext w:val="0"/>
        <w:keepLines w:val="0"/>
        <w:pageBreakBefore w:val="0"/>
        <w:numPr>
          <w:ilvl w:val="0"/>
          <w:numId w:val="0"/>
        </w:numPr>
        <w:kinsoku/>
        <w:wordWrap/>
        <w:overflowPunct/>
        <w:topLinePunct w:val="0"/>
        <w:autoSpaceDE/>
        <w:autoSpaceDN/>
        <w:bidi w:val="0"/>
        <w:adjustRightInd/>
        <w:snapToGrid/>
        <w:spacing w:beforeAutospacing="0" w:line="240" w:lineRule="auto"/>
        <w:textAlignment w:val="auto"/>
        <w:rPr>
          <w:rFonts w:hint="eastAsia" w:ascii="仿宋" w:hAnsi="仿宋" w:eastAsia="仿宋" w:cs="仿宋"/>
          <w:b/>
          <w:bCs/>
          <w:sz w:val="32"/>
          <w:szCs w:val="40"/>
          <w:lang w:val="en-US" w:eastAsia="zh-CN"/>
        </w:rPr>
      </w:pPr>
      <w:r>
        <w:rPr>
          <w:rFonts w:hint="eastAsia" w:ascii="仿宋_GB2312" w:hAnsi="仿宋_GB2312" w:eastAsia="仿宋_GB2312" w:cs="仿宋_GB2312"/>
          <w:b w:val="0"/>
          <w:bCs w:val="0"/>
          <w:sz w:val="32"/>
          <w:szCs w:val="40"/>
          <w:lang w:val="en-US" w:eastAsia="zh-CN"/>
        </w:rPr>
        <w:t xml:space="preserve">    </w:t>
      </w:r>
      <w:r>
        <w:rPr>
          <w:rFonts w:hint="eastAsia" w:ascii="仿宋_GB2312" w:hAnsi="仿宋_GB2312" w:eastAsia="仿宋_GB2312" w:cs="仿宋_GB2312"/>
          <w:b/>
          <w:bCs/>
          <w:sz w:val="32"/>
          <w:szCs w:val="40"/>
          <w:lang w:val="en-US" w:eastAsia="zh-CN"/>
        </w:rPr>
        <w:t>五、</w:t>
      </w:r>
      <w:r>
        <w:rPr>
          <w:rFonts w:hint="eastAsia" w:ascii="仿宋" w:hAnsi="仿宋" w:eastAsia="仿宋" w:cs="仿宋"/>
          <w:b/>
          <w:bCs/>
          <w:sz w:val="32"/>
          <w:szCs w:val="40"/>
          <w:lang w:val="en-US" w:eastAsia="zh-CN"/>
        </w:rPr>
        <w:t>其他需要说明的问题</w:t>
      </w:r>
    </w:p>
    <w:p w14:paraId="6D0DC36F">
      <w:pPr>
        <w:keepNext w:val="0"/>
        <w:keepLines w:val="0"/>
        <w:pageBreakBefore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无</w:t>
      </w:r>
    </w:p>
    <w:p w14:paraId="2B03181C">
      <w:pPr>
        <w:keepNext w:val="0"/>
        <w:keepLines w:val="0"/>
        <w:pageBreakBefore w:val="0"/>
        <w:numPr>
          <w:ilvl w:val="0"/>
          <w:numId w:val="0"/>
        </w:numPr>
        <w:kinsoku/>
        <w:wordWrap/>
        <w:overflowPunct/>
        <w:topLinePunct w:val="0"/>
        <w:autoSpaceDE/>
        <w:autoSpaceDN/>
        <w:bidi w:val="0"/>
        <w:adjustRightInd/>
        <w:snapToGrid/>
        <w:spacing w:beforeAutospacing="0" w:line="240" w:lineRule="auto"/>
        <w:ind w:firstLine="643"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六、附件</w:t>
      </w:r>
    </w:p>
    <w:p w14:paraId="3904B702">
      <w:pPr>
        <w:keepNext w:val="0"/>
        <w:keepLines w:val="0"/>
        <w:pageBreakBefore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转移支付区域（项目）绩效自评表</w:t>
      </w:r>
    </w:p>
    <w:p w14:paraId="70BAC782">
      <w:pPr>
        <w:pStyle w:val="2"/>
        <w:rPr>
          <w:rFonts w:hint="eastAsia"/>
          <w:lang w:val="en-US" w:eastAsia="zh-CN"/>
        </w:rPr>
      </w:pPr>
    </w:p>
    <w:p w14:paraId="3FB0998D">
      <w:pPr>
        <w:keepNext w:val="0"/>
        <w:keepLines w:val="0"/>
        <w:pageBreakBefore w:val="0"/>
        <w:widowControl w:val="0"/>
        <w:kinsoku/>
        <w:wordWrap/>
        <w:overflowPunct/>
        <w:topLinePunct w:val="0"/>
        <w:autoSpaceDE/>
        <w:autoSpaceDN/>
        <w:bidi w:val="0"/>
        <w:adjustRightInd/>
        <w:snapToGrid/>
        <w:spacing w:line="240" w:lineRule="auto"/>
        <w:ind w:firstLine="645"/>
        <w:jc w:val="both"/>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14:paraId="3C326A13">
      <w:pPr>
        <w:keepNext w:val="0"/>
        <w:keepLines w:val="0"/>
        <w:pageBreakBefore w:val="0"/>
        <w:widowControl w:val="0"/>
        <w:kinsoku/>
        <w:wordWrap/>
        <w:overflowPunct/>
        <w:topLinePunct w:val="0"/>
        <w:autoSpaceDE/>
        <w:autoSpaceDN/>
        <w:bidi w:val="0"/>
        <w:adjustRightInd/>
        <w:snapToGrid/>
        <w:spacing w:line="240" w:lineRule="auto"/>
        <w:ind w:firstLine="645"/>
        <w:jc w:val="both"/>
        <w:textAlignment w:val="auto"/>
        <w:rPr>
          <w:rFonts w:hint="eastAsia" w:ascii="仿宋_GB2312" w:hAnsi="仿宋" w:eastAsia="仿宋_GB2312"/>
          <w:sz w:val="32"/>
          <w:szCs w:val="32"/>
        </w:rPr>
      </w:pPr>
    </w:p>
    <w:p w14:paraId="67DF39A5">
      <w:pPr>
        <w:keepNext w:val="0"/>
        <w:keepLines w:val="0"/>
        <w:pageBreakBefore w:val="0"/>
        <w:widowControl w:val="0"/>
        <w:kinsoku/>
        <w:wordWrap/>
        <w:overflowPunct/>
        <w:topLinePunct w:val="0"/>
        <w:autoSpaceDE/>
        <w:autoSpaceDN/>
        <w:bidi w:val="0"/>
        <w:adjustRightInd/>
        <w:snapToGrid/>
        <w:spacing w:line="240" w:lineRule="auto"/>
        <w:ind w:firstLine="645"/>
        <w:jc w:val="both"/>
        <w:textAlignment w:val="auto"/>
        <w:rPr>
          <w:rFonts w:hint="eastAsia" w:ascii="仿宋_GB2312" w:hAnsi="仿宋" w:eastAsia="仿宋_GB2312"/>
          <w:sz w:val="32"/>
          <w:szCs w:val="32"/>
        </w:rPr>
      </w:pPr>
    </w:p>
    <w:p w14:paraId="30D94A0A">
      <w:pPr>
        <w:keepNext w:val="0"/>
        <w:keepLines w:val="0"/>
        <w:pageBreakBefore w:val="0"/>
        <w:widowControl w:val="0"/>
        <w:kinsoku/>
        <w:wordWrap/>
        <w:overflowPunct/>
        <w:topLinePunct w:val="0"/>
        <w:autoSpaceDE/>
        <w:autoSpaceDN/>
        <w:bidi w:val="0"/>
        <w:adjustRightInd/>
        <w:snapToGrid/>
        <w:spacing w:line="240" w:lineRule="auto"/>
        <w:ind w:firstLine="645"/>
        <w:jc w:val="both"/>
        <w:textAlignment w:val="auto"/>
        <w:rPr>
          <w:rFonts w:ascii="仿宋_GB2312" w:hAnsi="仿宋" w:eastAsia="仿宋_GB2312"/>
          <w:sz w:val="32"/>
          <w:szCs w:val="32"/>
        </w:rPr>
      </w:pPr>
      <w:r>
        <w:rPr>
          <w:rFonts w:hint="eastAsia" w:ascii="仿宋_GB2312" w:hAnsi="仿宋" w:eastAsia="仿宋_GB2312"/>
          <w:sz w:val="32"/>
          <w:szCs w:val="32"/>
        </w:rPr>
        <w:t xml:space="preserve">              </w:t>
      </w:r>
    </w:p>
    <w:p w14:paraId="64D79D1A">
      <w:pPr>
        <w:keepNext w:val="0"/>
        <w:keepLines w:val="0"/>
        <w:pageBreakBefore w:val="0"/>
        <w:widowControl w:val="0"/>
        <w:kinsoku/>
        <w:wordWrap/>
        <w:overflowPunct/>
        <w:topLinePunct w:val="0"/>
        <w:autoSpaceDE/>
        <w:autoSpaceDN/>
        <w:bidi w:val="0"/>
        <w:adjustRightInd/>
        <w:snapToGrid/>
        <w:spacing w:line="240" w:lineRule="auto"/>
        <w:ind w:firstLine="645"/>
        <w:jc w:val="both"/>
        <w:textAlignment w:val="auto"/>
        <w:rPr>
          <w:rFonts w:ascii="仿宋_GB2312" w:hAnsi="仿宋" w:eastAsia="仿宋_GB2312"/>
          <w:sz w:val="32"/>
          <w:szCs w:val="32"/>
        </w:rPr>
      </w:pPr>
    </w:p>
    <w:p w14:paraId="5780F32B">
      <w:pPr>
        <w:keepNext w:val="0"/>
        <w:keepLines w:val="0"/>
        <w:pageBreakBefore w:val="0"/>
        <w:widowControl w:val="0"/>
        <w:kinsoku/>
        <w:wordWrap/>
        <w:overflowPunct/>
        <w:topLinePunct w:val="0"/>
        <w:autoSpaceDE/>
        <w:autoSpaceDN/>
        <w:bidi w:val="0"/>
        <w:adjustRightInd/>
        <w:snapToGrid/>
        <w:spacing w:line="240" w:lineRule="auto"/>
        <w:ind w:firstLine="3539" w:firstLineChars="110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巴彦淖尔市卫生健康委员会</w:t>
      </w:r>
    </w:p>
    <w:p w14:paraId="4D2FB32F">
      <w:pPr>
        <w:keepNext w:val="0"/>
        <w:keepLines w:val="0"/>
        <w:pageBreakBefore w:val="0"/>
        <w:widowControl w:val="0"/>
        <w:kinsoku/>
        <w:wordWrap/>
        <w:overflowPunct/>
        <w:topLinePunct w:val="0"/>
        <w:autoSpaceDE/>
        <w:autoSpaceDN/>
        <w:bidi w:val="0"/>
        <w:adjustRightInd/>
        <w:snapToGrid/>
        <w:spacing w:line="240" w:lineRule="auto"/>
        <w:ind w:firstLine="3539" w:firstLineChars="1106"/>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2024年6月18日</w:t>
      </w:r>
    </w:p>
    <w:p w14:paraId="700FE9E7">
      <w:pPr>
        <w:keepNext w:val="0"/>
        <w:keepLines w:val="0"/>
        <w:pageBreakBefore w:val="0"/>
        <w:widowControl w:val="0"/>
        <w:kinsoku/>
        <w:wordWrap/>
        <w:overflowPunct/>
        <w:topLinePunct w:val="0"/>
        <w:autoSpaceDE/>
        <w:autoSpaceDN/>
        <w:bidi w:val="0"/>
        <w:adjustRightInd/>
        <w:snapToGrid/>
        <w:spacing w:line="240" w:lineRule="auto"/>
        <w:ind w:left="420" w:leftChars="200"/>
        <w:jc w:val="both"/>
        <w:textAlignment w:val="auto"/>
        <w:rPr>
          <w:rFonts w:ascii="楷体" w:hAnsi="楷体" w:eastAsia="楷体" w:cs="楷体"/>
          <w:b/>
          <w:bCs/>
          <w:sz w:val="32"/>
          <w:szCs w:val="40"/>
        </w:rPr>
      </w:pPr>
    </w:p>
    <w:p w14:paraId="0468F0E3">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p w14:paraId="11C4056C">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67D3">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D6EB3D">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2D2FE"/>
    <w:multiLevelType w:val="singleLevel"/>
    <w:tmpl w:val="E6A2D2F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0YzE4NmJiMmFkNDIxNTc2MTM1N2VmYzRkODM5YjYifQ=="/>
  </w:docVars>
  <w:rsids>
    <w:rsidRoot w:val="006142BC"/>
    <w:rsid w:val="00022708"/>
    <w:rsid w:val="0003139A"/>
    <w:rsid w:val="00073495"/>
    <w:rsid w:val="000874D1"/>
    <w:rsid w:val="00097A7F"/>
    <w:rsid w:val="000F41EF"/>
    <w:rsid w:val="00114327"/>
    <w:rsid w:val="001400E3"/>
    <w:rsid w:val="00140A1E"/>
    <w:rsid w:val="001F1C3C"/>
    <w:rsid w:val="00233550"/>
    <w:rsid w:val="00255569"/>
    <w:rsid w:val="0035614B"/>
    <w:rsid w:val="003954F4"/>
    <w:rsid w:val="004377E4"/>
    <w:rsid w:val="00461C46"/>
    <w:rsid w:val="004A0C44"/>
    <w:rsid w:val="006142BC"/>
    <w:rsid w:val="00690ABE"/>
    <w:rsid w:val="00764B14"/>
    <w:rsid w:val="007B3A63"/>
    <w:rsid w:val="00802745"/>
    <w:rsid w:val="00826B9D"/>
    <w:rsid w:val="00917A66"/>
    <w:rsid w:val="009F27DE"/>
    <w:rsid w:val="00A500CB"/>
    <w:rsid w:val="00C30F2C"/>
    <w:rsid w:val="00C66A82"/>
    <w:rsid w:val="00C76A8A"/>
    <w:rsid w:val="00CC3907"/>
    <w:rsid w:val="00CC52BF"/>
    <w:rsid w:val="00D158BB"/>
    <w:rsid w:val="00D97E27"/>
    <w:rsid w:val="00DB1A87"/>
    <w:rsid w:val="00E50C78"/>
    <w:rsid w:val="00E60E06"/>
    <w:rsid w:val="00EC24EE"/>
    <w:rsid w:val="00ED2792"/>
    <w:rsid w:val="00F56FC6"/>
    <w:rsid w:val="00FD51B4"/>
    <w:rsid w:val="00FF5FCA"/>
    <w:rsid w:val="010612AA"/>
    <w:rsid w:val="04FA2D68"/>
    <w:rsid w:val="05880AC8"/>
    <w:rsid w:val="0A9E6CB2"/>
    <w:rsid w:val="0C143231"/>
    <w:rsid w:val="0EF16F8A"/>
    <w:rsid w:val="103B6D46"/>
    <w:rsid w:val="15BB5BFB"/>
    <w:rsid w:val="15DF5D8E"/>
    <w:rsid w:val="16946B78"/>
    <w:rsid w:val="1C744EE3"/>
    <w:rsid w:val="1DB16262"/>
    <w:rsid w:val="21D825EB"/>
    <w:rsid w:val="261C26E6"/>
    <w:rsid w:val="2B6B01DA"/>
    <w:rsid w:val="2C043A01"/>
    <w:rsid w:val="2F0A3A24"/>
    <w:rsid w:val="2F745341"/>
    <w:rsid w:val="307C421D"/>
    <w:rsid w:val="32456B21"/>
    <w:rsid w:val="34C259A5"/>
    <w:rsid w:val="366C6035"/>
    <w:rsid w:val="37C94D85"/>
    <w:rsid w:val="3A5B15D7"/>
    <w:rsid w:val="3D275AA0"/>
    <w:rsid w:val="3DC254CA"/>
    <w:rsid w:val="3DFF3751"/>
    <w:rsid w:val="3F746C97"/>
    <w:rsid w:val="40B41A41"/>
    <w:rsid w:val="41006A35"/>
    <w:rsid w:val="4738011B"/>
    <w:rsid w:val="4A2C089A"/>
    <w:rsid w:val="4D0B3123"/>
    <w:rsid w:val="4D3D31CD"/>
    <w:rsid w:val="4FFA5C02"/>
    <w:rsid w:val="50AE3672"/>
    <w:rsid w:val="57D32355"/>
    <w:rsid w:val="59084281"/>
    <w:rsid w:val="611C2A0D"/>
    <w:rsid w:val="64287ECD"/>
    <w:rsid w:val="64813139"/>
    <w:rsid w:val="655E16AA"/>
    <w:rsid w:val="6624497F"/>
    <w:rsid w:val="67B574B2"/>
    <w:rsid w:val="6B6B0118"/>
    <w:rsid w:val="7082146C"/>
    <w:rsid w:val="719D4F58"/>
    <w:rsid w:val="77812F73"/>
    <w:rsid w:val="7C8810B1"/>
    <w:rsid w:val="7EA6356B"/>
    <w:rsid w:val="CEBF1169"/>
    <w:rsid w:val="EBC7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jc w:val="left"/>
    </w:p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22"/>
    <w:rPr>
      <w:b/>
      <w:bCs/>
    </w:rPr>
  </w:style>
  <w:style w:type="character" w:customStyle="1" w:styleId="10">
    <w:name w:val="页脚 Char"/>
    <w:basedOn w:val="8"/>
    <w:link w:val="3"/>
    <w:qFormat/>
    <w:uiPriority w:val="99"/>
    <w:rPr>
      <w:sz w:val="18"/>
      <w:szCs w:val="18"/>
    </w:rPr>
  </w:style>
  <w:style w:type="character" w:customStyle="1" w:styleId="11">
    <w:name w:val="页眉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2876</Words>
  <Characters>3118</Characters>
  <Lines>37</Lines>
  <Paragraphs>10</Paragraphs>
  <TotalTime>70</TotalTime>
  <ScaleCrop>false</ScaleCrop>
  <LinksUpToDate>false</LinksUpToDate>
  <CharactersWithSpaces>3164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2022-03-12T19:01:00Z</dcterms:created>
  <dc:creator>黄伟</dc:creator>
  <cp:lastModifiedBy>演示人</cp:lastModifiedBy>
  <cp:lastPrinted>2024-06-20T07:36:00Z</cp:lastPrinted>
  <dcterms:modified xsi:type="dcterms:W3CDTF">2024-06-20T09:57:39Z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CCF48567EA6543D1BA2F99CA63A6B18B</vt:lpwstr>
  </property>
</Properties>
</file>