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1D513">
      <w:pPr>
        <w:spacing w:after="120" w:line="360" w:lineRule="auto"/>
        <w:rPr>
          <w:rFonts w:eastAsia="仿宋_GB2312" w:cstheme="minorBidi"/>
          <w:sz w:val="30"/>
          <w:szCs w:val="30"/>
        </w:rPr>
      </w:pPr>
    </w:p>
    <w:p w14:paraId="6542B20F">
      <w:pPr>
        <w:rPr>
          <w:rFonts w:ascii="仿宋_GB2312" w:eastAsia="仿宋_GB2312"/>
          <w:sz w:val="32"/>
          <w:szCs w:val="32"/>
        </w:rPr>
      </w:pPr>
    </w:p>
    <w:p w14:paraId="200A18D3">
      <w:pPr>
        <w:pStyle w:val="18"/>
        <w:rPr>
          <w:rFonts w:hint="default" w:ascii="仿宋_GB2312" w:eastAsia="仿宋_GB2312"/>
          <w:sz w:val="32"/>
          <w:szCs w:val="32"/>
        </w:rPr>
      </w:pPr>
    </w:p>
    <w:p w14:paraId="56699150">
      <w:pPr>
        <w:pStyle w:val="18"/>
        <w:rPr>
          <w:rFonts w:hint="default" w:ascii="仿宋_GB2312" w:eastAsia="仿宋_GB2312"/>
          <w:sz w:val="32"/>
          <w:szCs w:val="32"/>
        </w:rPr>
      </w:pPr>
    </w:p>
    <w:p w14:paraId="45382E13">
      <w:pPr>
        <w:pStyle w:val="18"/>
        <w:rPr>
          <w:rFonts w:hint="default" w:ascii="仿宋_GB2312" w:eastAsia="仿宋_GB2312"/>
          <w:sz w:val="32"/>
          <w:szCs w:val="32"/>
        </w:rPr>
      </w:pPr>
    </w:p>
    <w:p w14:paraId="1009DCAE">
      <w:pPr>
        <w:pStyle w:val="18"/>
        <w:rPr>
          <w:rFonts w:hint="default" w:ascii="仿宋_GB2312" w:eastAsia="仿宋_GB2312"/>
          <w:sz w:val="32"/>
          <w:szCs w:val="32"/>
        </w:rPr>
      </w:pPr>
    </w:p>
    <w:p w14:paraId="783D9AB3">
      <w:pPr>
        <w:pStyle w:val="18"/>
        <w:rPr>
          <w:rFonts w:hint="default" w:ascii="仿宋_GB2312" w:eastAsia="仿宋_GB2312"/>
          <w:sz w:val="32"/>
          <w:szCs w:val="32"/>
        </w:rPr>
      </w:pPr>
    </w:p>
    <w:p w14:paraId="328C3D63">
      <w:pPr>
        <w:spacing w:line="360" w:lineRule="auto"/>
        <w:jc w:val="center"/>
        <w:rPr>
          <w:rFonts w:ascii="方正小标宋简体" w:hAnsi="方正小标宋简体" w:eastAsia="方正小标宋简体" w:cs="方正小标宋简体"/>
          <w:sz w:val="44"/>
          <w:szCs w:val="44"/>
          <w:u w:val="single"/>
        </w:rPr>
      </w:pPr>
      <w:r>
        <w:rPr>
          <w:rFonts w:hint="eastAsia" w:ascii="方正小标宋简体" w:hAnsi="方正小标宋简体" w:eastAsia="方正小标宋简体" w:cs="方正小标宋简体"/>
          <w:sz w:val="44"/>
          <w:szCs w:val="44"/>
        </w:rPr>
        <w:t>2025年度</w:t>
      </w:r>
      <w:r>
        <w:rPr>
          <w:rFonts w:hint="eastAsia" w:ascii="方正小标宋简体" w:hAnsi="方正小标宋简体" w:eastAsia="方正小标宋简体" w:cs="方正小标宋简体"/>
          <w:sz w:val="44"/>
          <w:szCs w:val="44"/>
          <w:u w:val="single"/>
        </w:rPr>
        <w:t>内蒙古自治区巴彦淖尔市</w:t>
      </w:r>
    </w:p>
    <w:p w14:paraId="3C7F4373">
      <w:pPr>
        <w:spacing w:line="360" w:lineRule="auto"/>
        <w:jc w:val="center"/>
        <w:rPr>
          <w:b/>
          <w:bCs/>
          <w:sz w:val="52"/>
          <w:szCs w:val="52"/>
        </w:rPr>
      </w:pPr>
      <w:r>
        <w:rPr>
          <w:rFonts w:hint="eastAsia" w:ascii="方正小标宋简体" w:hAnsi="方正小标宋简体" w:eastAsia="方正小标宋简体" w:cs="方正小标宋简体"/>
          <w:sz w:val="44"/>
          <w:szCs w:val="44"/>
          <w:u w:val="single"/>
        </w:rPr>
        <w:t>蒙医医院</w:t>
      </w:r>
      <w:r>
        <w:rPr>
          <w:rFonts w:hint="eastAsia" w:ascii="方正小标宋简体" w:hAnsi="方正小标宋简体" w:eastAsia="方正小标宋简体" w:cs="方正小标宋简体"/>
          <w:sz w:val="44"/>
          <w:szCs w:val="44"/>
        </w:rPr>
        <w:t>决算公开</w:t>
      </w:r>
    </w:p>
    <w:p w14:paraId="3F9EB23F"/>
    <w:p w14:paraId="625687EC">
      <w:pPr>
        <w:pStyle w:val="18"/>
        <w:rPr>
          <w:rFonts w:hint="default"/>
        </w:rPr>
      </w:pPr>
    </w:p>
    <w:p w14:paraId="497F95B6">
      <w:pPr>
        <w:pStyle w:val="18"/>
        <w:rPr>
          <w:rFonts w:hint="default"/>
        </w:rPr>
      </w:pPr>
    </w:p>
    <w:p w14:paraId="067242DF">
      <w:pPr>
        <w:pStyle w:val="18"/>
        <w:rPr>
          <w:rFonts w:hint="default"/>
        </w:rPr>
      </w:pPr>
    </w:p>
    <w:p w14:paraId="439F8002">
      <w:pPr>
        <w:pStyle w:val="18"/>
        <w:rPr>
          <w:rFonts w:hint="default"/>
        </w:rPr>
      </w:pPr>
    </w:p>
    <w:p w14:paraId="31C887D0">
      <w:pPr>
        <w:pStyle w:val="18"/>
        <w:rPr>
          <w:rFonts w:hint="default"/>
        </w:rPr>
      </w:pPr>
    </w:p>
    <w:p w14:paraId="1625F9DC">
      <w:pPr>
        <w:pStyle w:val="18"/>
        <w:rPr>
          <w:rFonts w:hint="default"/>
        </w:rPr>
      </w:pPr>
    </w:p>
    <w:p w14:paraId="407FCD46">
      <w:pPr>
        <w:pStyle w:val="18"/>
        <w:rPr>
          <w:rFonts w:hint="default"/>
        </w:rPr>
      </w:pPr>
    </w:p>
    <w:p w14:paraId="0945C3C5">
      <w:pPr>
        <w:pStyle w:val="18"/>
        <w:rPr>
          <w:rFonts w:hint="default"/>
        </w:rPr>
      </w:pPr>
    </w:p>
    <w:p w14:paraId="62BCBADF">
      <w:pPr>
        <w:pStyle w:val="18"/>
        <w:spacing w:after="0" w:line="600" w:lineRule="exact"/>
        <w:ind w:left="0" w:leftChars="0" w:firstLine="0"/>
        <w:jc w:val="center"/>
        <w:rPr>
          <w:rFonts w:hint="default" w:ascii="黑体" w:hAnsi="黑体" w:eastAsia="黑体" w:cs="黑体"/>
        </w:rPr>
      </w:pPr>
      <w:r>
        <w:rPr>
          <w:rFonts w:ascii="黑体" w:hAnsi="黑体" w:eastAsia="黑体" w:cs="黑体"/>
          <w:sz w:val="32"/>
          <w:szCs w:val="32"/>
        </w:rPr>
        <w:t>批复时间：</w:t>
      </w:r>
      <w:r>
        <w:rPr>
          <w:rFonts w:ascii="黑体" w:hAnsi="黑体" w:eastAsia="黑体" w:cs="黑体"/>
          <w:sz w:val="32"/>
          <w:szCs w:val="32"/>
          <w:u w:val="single"/>
        </w:rPr>
        <w:t xml:space="preserve">  2026  年  9 月  3 日</w:t>
      </w:r>
    </w:p>
    <w:p w14:paraId="72D7C67E">
      <w:pPr>
        <w:pStyle w:val="18"/>
        <w:spacing w:after="0" w:line="600" w:lineRule="exact"/>
        <w:ind w:left="0" w:leftChars="0" w:firstLine="0"/>
        <w:jc w:val="center"/>
        <w:rPr>
          <w:rFonts w:hint="default" w:ascii="黑体" w:hAnsi="黑体" w:eastAsia="黑体" w:cs="黑体"/>
        </w:rPr>
      </w:pPr>
      <w:r>
        <w:rPr>
          <w:rFonts w:ascii="黑体" w:hAnsi="黑体" w:eastAsia="黑体" w:cs="黑体"/>
          <w:sz w:val="32"/>
          <w:szCs w:val="32"/>
        </w:rPr>
        <w:t>公开时间：</w:t>
      </w:r>
      <w:r>
        <w:rPr>
          <w:rFonts w:ascii="黑体" w:hAnsi="黑体" w:eastAsia="黑体" w:cs="黑体"/>
          <w:sz w:val="32"/>
          <w:szCs w:val="32"/>
          <w:u w:val="single"/>
        </w:rPr>
        <w:t xml:space="preserve">  2026  年  9 月 20 日</w:t>
      </w:r>
    </w:p>
    <w:p w14:paraId="3B5F44B4">
      <w:pPr>
        <w:pStyle w:val="8"/>
        <w:spacing w:before="3"/>
        <w:ind w:firstLine="200"/>
        <w:rPr>
          <w:sz w:val="10"/>
        </w:rPr>
      </w:pPr>
    </w:p>
    <w:p w14:paraId="602AC66D">
      <w:pPr>
        <w:jc w:val="center"/>
        <w:rPr>
          <w:b/>
          <w:bCs/>
          <w:sz w:val="48"/>
          <w:szCs w:val="48"/>
        </w:rPr>
      </w:pPr>
    </w:p>
    <w:p w14:paraId="0A9B3A7B">
      <w:pPr>
        <w:jc w:val="center"/>
        <w:rPr>
          <w:b/>
          <w:bCs/>
          <w:sz w:val="48"/>
          <w:szCs w:val="48"/>
        </w:rPr>
      </w:pPr>
    </w:p>
    <w:p w14:paraId="1BDC6371">
      <w:pPr>
        <w:jc w:val="center"/>
        <w:rPr>
          <w:b/>
          <w:bCs/>
          <w:sz w:val="48"/>
          <w:szCs w:val="48"/>
        </w:rPr>
      </w:pPr>
      <w:r>
        <w:rPr>
          <w:b/>
          <w:bCs/>
          <w:sz w:val="48"/>
          <w:szCs w:val="48"/>
        </w:rPr>
        <w:t>目</w:t>
      </w:r>
      <w:r>
        <w:rPr>
          <w:b/>
          <w:bCs/>
          <w:sz w:val="48"/>
          <w:szCs w:val="48"/>
        </w:rPr>
        <w:tab/>
      </w:r>
      <w:r>
        <w:rPr>
          <w:b/>
          <w:bCs/>
          <w:sz w:val="48"/>
          <w:szCs w:val="48"/>
        </w:rPr>
        <w:t>录</w:t>
      </w:r>
    </w:p>
    <w:p w14:paraId="0F71F93F">
      <w:pPr>
        <w:pStyle w:val="8"/>
        <w:spacing w:after="0" w:line="360" w:lineRule="auto"/>
        <w:rPr>
          <w:rFonts w:ascii="黑体" w:hAnsi="黑体" w:eastAsia="黑体" w:cs="黑体"/>
          <w:sz w:val="32"/>
          <w:szCs w:val="32"/>
        </w:rPr>
      </w:pPr>
      <w:r>
        <w:rPr>
          <w:rFonts w:hint="eastAsia" w:ascii="黑体" w:hAnsi="黑体" w:eastAsia="黑体" w:cs="黑体"/>
          <w:sz w:val="32"/>
          <w:szCs w:val="32"/>
        </w:rPr>
        <w:t>第一部分 单位概况</w:t>
      </w:r>
    </w:p>
    <w:p w14:paraId="1D5A76F9">
      <w:pPr>
        <w:pStyle w:val="8"/>
        <w:spacing w:after="0" w:line="360" w:lineRule="auto"/>
        <w:rPr>
          <w:rFonts w:eastAsia="仿宋_GB2312" w:cs="仿宋"/>
          <w:w w:val="95"/>
          <w:sz w:val="32"/>
          <w:szCs w:val="32"/>
        </w:rPr>
      </w:pPr>
      <w:r>
        <w:rPr>
          <w:rFonts w:hint="eastAsia" w:eastAsia="仿宋_GB2312" w:cs="仿宋"/>
          <w:w w:val="95"/>
          <w:sz w:val="32"/>
          <w:szCs w:val="32"/>
        </w:rPr>
        <w:t>一、主要职能、职责</w:t>
      </w:r>
    </w:p>
    <w:p w14:paraId="32149E7D">
      <w:pPr>
        <w:pStyle w:val="8"/>
        <w:tabs>
          <w:tab w:val="left" w:pos="994"/>
        </w:tabs>
        <w:spacing w:before="6" w:line="235" w:lineRule="auto"/>
        <w:ind w:right="1670"/>
        <w:rPr>
          <w:rFonts w:eastAsia="仿宋_GB2312" w:cs="仿宋"/>
          <w:w w:val="95"/>
          <w:sz w:val="32"/>
          <w:szCs w:val="32"/>
        </w:rPr>
      </w:pPr>
      <w:r>
        <w:rPr>
          <w:rFonts w:hint="eastAsia" w:eastAsia="仿宋_GB2312" w:cs="仿宋"/>
          <w:w w:val="95"/>
          <w:sz w:val="32"/>
          <w:szCs w:val="32"/>
        </w:rPr>
        <w:t>二、单位机构设置及决算单位构成情况</w:t>
      </w:r>
    </w:p>
    <w:p w14:paraId="023117AC">
      <w:pPr>
        <w:pStyle w:val="8"/>
        <w:spacing w:after="0" w:line="360" w:lineRule="auto"/>
        <w:rPr>
          <w:rFonts w:ascii="黑体" w:hAnsi="黑体" w:eastAsia="黑体" w:cs="黑体"/>
          <w:sz w:val="32"/>
          <w:szCs w:val="32"/>
        </w:rPr>
      </w:pPr>
      <w:r>
        <w:rPr>
          <w:rFonts w:hint="eastAsia" w:ascii="黑体" w:hAnsi="黑体" w:eastAsia="黑体" w:cs="黑体"/>
          <w:sz w:val="32"/>
          <w:szCs w:val="32"/>
        </w:rPr>
        <w:t>第二部分 2025年度单位决算情况说明</w:t>
      </w:r>
    </w:p>
    <w:p w14:paraId="40AD577F">
      <w:pPr>
        <w:pStyle w:val="8"/>
        <w:spacing w:after="0" w:line="360" w:lineRule="auto"/>
        <w:rPr>
          <w:rFonts w:eastAsia="仿宋_GB2312" w:cs="仿宋"/>
          <w:w w:val="95"/>
          <w:sz w:val="32"/>
          <w:szCs w:val="32"/>
        </w:rPr>
      </w:pPr>
      <w:r>
        <w:rPr>
          <w:rFonts w:hint="eastAsia" w:eastAsia="仿宋_GB2312" w:cs="仿宋"/>
          <w:w w:val="95"/>
          <w:sz w:val="32"/>
          <w:szCs w:val="32"/>
        </w:rPr>
        <w:t>一、收入支出决算总体情况说明</w:t>
      </w:r>
    </w:p>
    <w:p w14:paraId="39AD2436">
      <w:pPr>
        <w:pStyle w:val="8"/>
        <w:spacing w:after="0" w:line="360" w:lineRule="auto"/>
        <w:rPr>
          <w:rFonts w:eastAsia="仿宋_GB2312" w:cs="仿宋"/>
          <w:w w:val="95"/>
          <w:sz w:val="32"/>
          <w:szCs w:val="32"/>
        </w:rPr>
      </w:pPr>
      <w:r>
        <w:rPr>
          <w:rFonts w:hint="eastAsia" w:eastAsia="仿宋_GB2312" w:cs="仿宋"/>
          <w:w w:val="95"/>
          <w:sz w:val="32"/>
          <w:szCs w:val="32"/>
        </w:rPr>
        <w:t>二、收入决算情况说明</w:t>
      </w:r>
    </w:p>
    <w:p w14:paraId="10E3753D">
      <w:pPr>
        <w:pStyle w:val="8"/>
        <w:spacing w:after="0" w:line="360" w:lineRule="auto"/>
        <w:rPr>
          <w:rFonts w:eastAsia="仿宋_GB2312" w:cs="仿宋"/>
          <w:w w:val="95"/>
          <w:sz w:val="32"/>
          <w:szCs w:val="32"/>
        </w:rPr>
      </w:pPr>
      <w:r>
        <w:rPr>
          <w:rFonts w:hint="eastAsia" w:eastAsia="仿宋_GB2312" w:cs="仿宋"/>
          <w:w w:val="95"/>
          <w:sz w:val="32"/>
          <w:szCs w:val="32"/>
        </w:rPr>
        <w:t>三、支出决算情况说明</w:t>
      </w:r>
    </w:p>
    <w:p w14:paraId="0AB3D6F5">
      <w:pPr>
        <w:pStyle w:val="8"/>
        <w:spacing w:after="0" w:line="360" w:lineRule="auto"/>
        <w:rPr>
          <w:rFonts w:eastAsia="仿宋_GB2312" w:cs="仿宋"/>
          <w:w w:val="95"/>
          <w:sz w:val="32"/>
          <w:szCs w:val="32"/>
        </w:rPr>
      </w:pPr>
      <w:r>
        <w:rPr>
          <w:rFonts w:hint="eastAsia" w:eastAsia="仿宋_GB2312" w:cs="仿宋"/>
          <w:w w:val="95"/>
          <w:sz w:val="32"/>
          <w:szCs w:val="32"/>
        </w:rPr>
        <w:t>四、财政拨款收入支出决算总体情况说明</w:t>
      </w:r>
    </w:p>
    <w:p w14:paraId="239FD0B4">
      <w:pPr>
        <w:pStyle w:val="8"/>
        <w:spacing w:after="0" w:line="360" w:lineRule="auto"/>
        <w:rPr>
          <w:rFonts w:eastAsia="仿宋_GB2312" w:cs="仿宋"/>
          <w:w w:val="95"/>
          <w:sz w:val="32"/>
          <w:szCs w:val="32"/>
        </w:rPr>
      </w:pPr>
      <w:r>
        <w:rPr>
          <w:rFonts w:hint="eastAsia" w:eastAsia="仿宋_GB2312" w:cs="仿宋"/>
          <w:w w:val="95"/>
          <w:sz w:val="32"/>
          <w:szCs w:val="32"/>
        </w:rPr>
        <w:t>五、一般公共预算支出决算情况说明</w:t>
      </w:r>
    </w:p>
    <w:p w14:paraId="23DF2C24">
      <w:pPr>
        <w:pStyle w:val="8"/>
        <w:spacing w:after="0" w:line="360" w:lineRule="auto"/>
        <w:rPr>
          <w:rFonts w:eastAsia="仿宋_GB2312" w:cs="仿宋"/>
          <w:w w:val="95"/>
          <w:sz w:val="32"/>
          <w:szCs w:val="32"/>
        </w:rPr>
      </w:pPr>
      <w:r>
        <w:rPr>
          <w:rFonts w:hint="eastAsia" w:eastAsia="仿宋_GB2312" w:cs="仿宋"/>
          <w:w w:val="95"/>
          <w:sz w:val="32"/>
          <w:szCs w:val="32"/>
        </w:rPr>
        <w:t>六、一般公共预算基本支出决算情况说明</w:t>
      </w:r>
    </w:p>
    <w:p w14:paraId="5AC917E4">
      <w:pPr>
        <w:pStyle w:val="8"/>
        <w:spacing w:after="0" w:line="360" w:lineRule="auto"/>
        <w:rPr>
          <w:rFonts w:eastAsia="仿宋_GB2312" w:cs="仿宋"/>
          <w:w w:val="95"/>
          <w:sz w:val="32"/>
          <w:szCs w:val="32"/>
        </w:rPr>
      </w:pPr>
      <w:r>
        <w:rPr>
          <w:rFonts w:hint="eastAsia" w:eastAsia="仿宋_GB2312" w:cs="仿宋"/>
          <w:w w:val="95"/>
          <w:sz w:val="32"/>
          <w:szCs w:val="32"/>
        </w:rPr>
        <w:t>七、财政拨款“三公”经费支出决算情况说明</w:t>
      </w:r>
    </w:p>
    <w:p w14:paraId="1B44B991">
      <w:pPr>
        <w:pStyle w:val="8"/>
        <w:spacing w:after="0" w:line="360" w:lineRule="auto"/>
        <w:rPr>
          <w:rFonts w:eastAsia="仿宋_GB2312" w:cs="仿宋"/>
          <w:w w:val="95"/>
          <w:sz w:val="32"/>
          <w:szCs w:val="32"/>
        </w:rPr>
      </w:pPr>
      <w:r>
        <w:rPr>
          <w:rFonts w:hint="eastAsia" w:eastAsia="仿宋_GB2312" w:cs="仿宋"/>
          <w:w w:val="95"/>
          <w:sz w:val="32"/>
          <w:szCs w:val="32"/>
        </w:rPr>
        <w:t>八、政府性基金预算财政拨款支出决算情况说明</w:t>
      </w:r>
    </w:p>
    <w:p w14:paraId="4D26F871">
      <w:pPr>
        <w:pStyle w:val="8"/>
        <w:spacing w:after="0" w:line="360" w:lineRule="auto"/>
        <w:rPr>
          <w:rFonts w:eastAsia="仿宋_GB2312" w:cs="仿宋"/>
          <w:w w:val="95"/>
          <w:sz w:val="32"/>
          <w:szCs w:val="32"/>
        </w:rPr>
      </w:pPr>
      <w:r>
        <w:rPr>
          <w:rFonts w:hint="eastAsia" w:eastAsia="仿宋_GB2312" w:cs="仿宋"/>
          <w:w w:val="95"/>
          <w:sz w:val="32"/>
          <w:szCs w:val="32"/>
        </w:rPr>
        <w:t>九、国有资本经营预算财政拨款支出决算情况说明</w:t>
      </w:r>
    </w:p>
    <w:p w14:paraId="372D6E6B">
      <w:pPr>
        <w:pStyle w:val="8"/>
        <w:spacing w:after="0" w:line="360" w:lineRule="auto"/>
        <w:rPr>
          <w:rFonts w:eastAsia="仿宋_GB2312" w:cs="仿宋"/>
          <w:w w:val="95"/>
          <w:sz w:val="32"/>
          <w:szCs w:val="32"/>
        </w:rPr>
      </w:pPr>
      <w:r>
        <w:rPr>
          <w:rFonts w:hint="eastAsia" w:eastAsia="仿宋_GB2312" w:cs="仿宋"/>
          <w:w w:val="95"/>
          <w:sz w:val="32"/>
          <w:szCs w:val="32"/>
        </w:rPr>
        <w:t>十、项目支出决算情况说明</w:t>
      </w:r>
    </w:p>
    <w:p w14:paraId="020ECD21">
      <w:pPr>
        <w:pStyle w:val="8"/>
        <w:spacing w:after="0" w:line="360" w:lineRule="auto"/>
        <w:rPr>
          <w:rFonts w:eastAsia="仿宋_GB2312" w:cs="仿宋"/>
          <w:w w:val="95"/>
          <w:sz w:val="32"/>
          <w:szCs w:val="32"/>
        </w:rPr>
      </w:pPr>
      <w:r>
        <w:rPr>
          <w:rFonts w:hint="eastAsia" w:eastAsia="仿宋_GB2312" w:cs="仿宋"/>
          <w:w w:val="95"/>
          <w:sz w:val="32"/>
          <w:szCs w:val="32"/>
        </w:rPr>
        <w:t>十一、机构运行经费支出决算情况说明</w:t>
      </w:r>
    </w:p>
    <w:p w14:paraId="08174DD1">
      <w:pPr>
        <w:pStyle w:val="8"/>
        <w:spacing w:after="0" w:line="360" w:lineRule="auto"/>
        <w:rPr>
          <w:rFonts w:eastAsia="仿宋_GB2312" w:cs="仿宋"/>
          <w:w w:val="95"/>
          <w:sz w:val="32"/>
          <w:szCs w:val="32"/>
        </w:rPr>
      </w:pPr>
      <w:r>
        <w:rPr>
          <w:rFonts w:hint="eastAsia" w:eastAsia="仿宋_GB2312" w:cs="仿宋"/>
          <w:w w:val="95"/>
          <w:sz w:val="32"/>
          <w:szCs w:val="32"/>
        </w:rPr>
        <w:t>十二、政府采购支出决算情况说明</w:t>
      </w:r>
    </w:p>
    <w:p w14:paraId="70EC3D32">
      <w:pPr>
        <w:pStyle w:val="8"/>
        <w:spacing w:after="0" w:line="360" w:lineRule="auto"/>
        <w:rPr>
          <w:rFonts w:eastAsia="仿宋_GB2312" w:cs="仿宋"/>
          <w:w w:val="95"/>
          <w:sz w:val="32"/>
          <w:szCs w:val="32"/>
        </w:rPr>
      </w:pPr>
      <w:r>
        <w:rPr>
          <w:rFonts w:hint="eastAsia" w:eastAsia="仿宋_GB2312" w:cs="仿宋"/>
          <w:w w:val="95"/>
          <w:sz w:val="32"/>
          <w:szCs w:val="32"/>
        </w:rPr>
        <w:t>十三、国有资产占用情况说明</w:t>
      </w:r>
    </w:p>
    <w:p w14:paraId="5E21EC5C">
      <w:pPr>
        <w:pStyle w:val="8"/>
        <w:spacing w:after="0" w:line="360" w:lineRule="auto"/>
        <w:rPr>
          <w:rFonts w:eastAsia="仿宋_GB2312" w:cs="仿宋"/>
          <w:w w:val="95"/>
          <w:sz w:val="32"/>
          <w:szCs w:val="32"/>
        </w:rPr>
      </w:pPr>
      <w:r>
        <w:rPr>
          <w:rFonts w:hint="eastAsia" w:eastAsia="仿宋_GB2312" w:cs="仿宋"/>
          <w:w w:val="95"/>
          <w:sz w:val="32"/>
          <w:szCs w:val="32"/>
        </w:rPr>
        <w:t>十四、预算绩效情况说明</w:t>
      </w:r>
    </w:p>
    <w:p w14:paraId="66131D04">
      <w:pPr>
        <w:pStyle w:val="8"/>
        <w:spacing w:after="0" w:line="360" w:lineRule="auto"/>
        <w:rPr>
          <w:rFonts w:ascii="黑体" w:hAnsi="黑体" w:eastAsia="黑体" w:cs="黑体"/>
          <w:sz w:val="32"/>
          <w:szCs w:val="32"/>
        </w:rPr>
      </w:pPr>
      <w:r>
        <w:rPr>
          <w:rFonts w:hint="eastAsia" w:ascii="黑体" w:hAnsi="黑体" w:eastAsia="黑体" w:cs="黑体"/>
          <w:sz w:val="32"/>
          <w:szCs w:val="32"/>
        </w:rPr>
        <w:t>第三部分 名词解释</w:t>
      </w:r>
    </w:p>
    <w:p w14:paraId="6102F00F">
      <w:pPr>
        <w:pStyle w:val="8"/>
        <w:spacing w:after="0" w:line="600" w:lineRule="exact"/>
        <w:rPr>
          <w:rFonts w:ascii="黑体" w:hAnsi="黑体" w:eastAsia="黑体" w:cs="黑体"/>
          <w:sz w:val="32"/>
          <w:szCs w:val="32"/>
        </w:rPr>
      </w:pPr>
      <w:r>
        <w:rPr>
          <w:rFonts w:hint="eastAsia" w:ascii="黑体" w:hAnsi="黑体" w:eastAsia="黑体" w:cs="黑体"/>
          <w:sz w:val="32"/>
          <w:szCs w:val="32"/>
        </w:rPr>
        <w:t>第四部分 决算公开联系方式及信息反馈渠道</w:t>
      </w:r>
    </w:p>
    <w:p w14:paraId="74561082">
      <w:pPr>
        <w:pStyle w:val="8"/>
        <w:spacing w:after="0" w:line="360" w:lineRule="auto"/>
        <w:rPr>
          <w:rFonts w:ascii="黑体" w:hAnsi="黑体" w:eastAsia="黑体" w:cs="黑体"/>
          <w:sz w:val="32"/>
          <w:szCs w:val="32"/>
        </w:rPr>
      </w:pPr>
      <w:r>
        <w:rPr>
          <w:rFonts w:hint="eastAsia" w:ascii="黑体" w:hAnsi="黑体" w:eastAsia="黑体" w:cs="黑体"/>
          <w:sz w:val="32"/>
          <w:szCs w:val="32"/>
        </w:rPr>
        <w:t>第五部分 2025年度单位决算表</w:t>
      </w:r>
    </w:p>
    <w:p w14:paraId="7FE9FC71">
      <w:pPr>
        <w:pStyle w:val="8"/>
        <w:spacing w:after="0" w:line="360" w:lineRule="auto"/>
        <w:rPr>
          <w:rFonts w:eastAsia="仿宋_GB2312" w:cs="仿宋"/>
          <w:w w:val="95"/>
          <w:sz w:val="32"/>
          <w:szCs w:val="32"/>
        </w:rPr>
      </w:pPr>
      <w:r>
        <w:rPr>
          <w:rFonts w:hint="eastAsia" w:eastAsia="仿宋_GB2312" w:cs="仿宋"/>
          <w:w w:val="95"/>
          <w:sz w:val="32"/>
          <w:szCs w:val="32"/>
        </w:rPr>
        <w:t>一、收入支出决算总表</w:t>
      </w:r>
    </w:p>
    <w:p w14:paraId="35E0D2EF">
      <w:pPr>
        <w:pStyle w:val="8"/>
        <w:spacing w:after="0" w:line="360" w:lineRule="auto"/>
        <w:rPr>
          <w:rFonts w:eastAsia="仿宋_GB2312" w:cs="仿宋"/>
          <w:w w:val="95"/>
          <w:sz w:val="32"/>
          <w:szCs w:val="32"/>
        </w:rPr>
      </w:pPr>
      <w:r>
        <w:rPr>
          <w:rFonts w:hint="eastAsia" w:eastAsia="仿宋_GB2312" w:cs="仿宋"/>
          <w:w w:val="95"/>
          <w:sz w:val="32"/>
          <w:szCs w:val="32"/>
        </w:rPr>
        <w:t>二、收入决算表</w:t>
      </w:r>
    </w:p>
    <w:p w14:paraId="7DEFF2B4">
      <w:pPr>
        <w:pStyle w:val="8"/>
        <w:spacing w:after="0" w:line="360" w:lineRule="auto"/>
        <w:rPr>
          <w:rFonts w:eastAsia="仿宋_GB2312" w:cs="仿宋"/>
          <w:w w:val="95"/>
          <w:sz w:val="32"/>
          <w:szCs w:val="32"/>
        </w:rPr>
      </w:pPr>
      <w:r>
        <w:rPr>
          <w:rFonts w:hint="eastAsia" w:eastAsia="仿宋_GB2312" w:cs="仿宋"/>
          <w:w w:val="95"/>
          <w:sz w:val="32"/>
          <w:szCs w:val="32"/>
        </w:rPr>
        <w:t>三、支出决算表</w:t>
      </w:r>
    </w:p>
    <w:p w14:paraId="2512B6BB">
      <w:pPr>
        <w:pStyle w:val="8"/>
        <w:spacing w:after="0" w:line="360" w:lineRule="auto"/>
        <w:rPr>
          <w:rFonts w:eastAsia="仿宋_GB2312" w:cs="仿宋"/>
          <w:w w:val="95"/>
          <w:sz w:val="32"/>
          <w:szCs w:val="32"/>
        </w:rPr>
      </w:pPr>
      <w:r>
        <w:rPr>
          <w:rFonts w:hint="eastAsia" w:eastAsia="仿宋_GB2312" w:cs="仿宋"/>
          <w:w w:val="95"/>
          <w:sz w:val="32"/>
          <w:szCs w:val="32"/>
        </w:rPr>
        <w:t>四、财政拨款收入支出决算总表</w:t>
      </w:r>
    </w:p>
    <w:p w14:paraId="1A0AE6C9">
      <w:pPr>
        <w:pStyle w:val="8"/>
        <w:spacing w:after="0" w:line="360" w:lineRule="auto"/>
        <w:rPr>
          <w:rFonts w:eastAsia="仿宋_GB2312" w:cs="仿宋"/>
          <w:w w:val="95"/>
          <w:sz w:val="32"/>
          <w:szCs w:val="32"/>
        </w:rPr>
      </w:pPr>
      <w:r>
        <w:rPr>
          <w:rFonts w:hint="eastAsia" w:eastAsia="仿宋_GB2312" w:cs="仿宋"/>
          <w:w w:val="95"/>
          <w:sz w:val="32"/>
          <w:szCs w:val="32"/>
        </w:rPr>
        <w:t>五、一般公共预算财政拨款支出决算表</w:t>
      </w:r>
    </w:p>
    <w:p w14:paraId="71D83F25">
      <w:pPr>
        <w:pStyle w:val="8"/>
        <w:spacing w:after="0" w:line="360" w:lineRule="auto"/>
        <w:rPr>
          <w:rFonts w:eastAsia="仿宋_GB2312" w:cs="仿宋"/>
          <w:w w:val="95"/>
          <w:sz w:val="32"/>
          <w:szCs w:val="32"/>
        </w:rPr>
      </w:pPr>
      <w:r>
        <w:rPr>
          <w:rFonts w:hint="eastAsia" w:eastAsia="仿宋_GB2312" w:cs="仿宋"/>
          <w:w w:val="95"/>
          <w:sz w:val="32"/>
          <w:szCs w:val="32"/>
        </w:rPr>
        <w:t>六、一般公共预算财政拨款基本支出决算明细表</w:t>
      </w:r>
    </w:p>
    <w:p w14:paraId="350A608D">
      <w:pPr>
        <w:pStyle w:val="8"/>
        <w:spacing w:after="0" w:line="360" w:lineRule="auto"/>
        <w:rPr>
          <w:rFonts w:eastAsia="仿宋_GB2312" w:cs="仿宋"/>
          <w:w w:val="95"/>
          <w:sz w:val="32"/>
          <w:szCs w:val="32"/>
        </w:rPr>
      </w:pPr>
      <w:r>
        <w:rPr>
          <w:rFonts w:hint="eastAsia" w:eastAsia="仿宋_GB2312" w:cs="仿宋"/>
          <w:w w:val="95"/>
          <w:sz w:val="32"/>
          <w:szCs w:val="32"/>
        </w:rPr>
        <w:t>七、一般公共预算财政拨款项目支出决算明细表</w:t>
      </w:r>
    </w:p>
    <w:p w14:paraId="79B6CD81">
      <w:pPr>
        <w:pStyle w:val="8"/>
        <w:spacing w:after="0" w:line="360" w:lineRule="auto"/>
        <w:rPr>
          <w:rFonts w:eastAsia="仿宋_GB2312" w:cs="仿宋"/>
          <w:w w:val="95"/>
          <w:sz w:val="32"/>
          <w:szCs w:val="32"/>
        </w:rPr>
      </w:pPr>
      <w:r>
        <w:rPr>
          <w:rFonts w:hint="eastAsia" w:eastAsia="仿宋_GB2312" w:cs="仿宋"/>
          <w:w w:val="95"/>
          <w:sz w:val="32"/>
          <w:szCs w:val="32"/>
        </w:rPr>
        <w:t>八、政府性基金预算财政拨款收入支出决算表</w:t>
      </w:r>
    </w:p>
    <w:p w14:paraId="02303273">
      <w:pPr>
        <w:pStyle w:val="8"/>
        <w:spacing w:after="0" w:line="360" w:lineRule="auto"/>
        <w:rPr>
          <w:rFonts w:eastAsia="仿宋_GB2312" w:cs="仿宋"/>
          <w:w w:val="95"/>
          <w:sz w:val="32"/>
          <w:szCs w:val="32"/>
        </w:rPr>
      </w:pPr>
      <w:r>
        <w:rPr>
          <w:rFonts w:hint="eastAsia" w:eastAsia="仿宋_GB2312" w:cs="仿宋"/>
          <w:w w:val="95"/>
          <w:sz w:val="32"/>
          <w:szCs w:val="32"/>
        </w:rPr>
        <w:t>九、国有资本经营预算财政拨款收入支出决算表</w:t>
      </w:r>
    </w:p>
    <w:p w14:paraId="0726014D">
      <w:pPr>
        <w:pStyle w:val="8"/>
        <w:spacing w:after="0" w:line="360" w:lineRule="auto"/>
        <w:rPr>
          <w:rFonts w:eastAsia="仿宋_GB2312" w:cs="仿宋"/>
          <w:w w:val="95"/>
          <w:sz w:val="32"/>
          <w:szCs w:val="32"/>
        </w:rPr>
      </w:pPr>
      <w:r>
        <w:rPr>
          <w:rFonts w:hint="eastAsia" w:eastAsia="仿宋_GB2312" w:cs="仿宋"/>
          <w:w w:val="95"/>
          <w:sz w:val="32"/>
          <w:szCs w:val="32"/>
        </w:rPr>
        <w:t>十、财政拨款“三公”经费支出决算表</w:t>
      </w:r>
    </w:p>
    <w:p w14:paraId="2108C3E9">
      <w:pPr>
        <w:pStyle w:val="8"/>
        <w:spacing w:after="0" w:line="360" w:lineRule="auto"/>
        <w:rPr>
          <w:rFonts w:eastAsia="仿宋_GB2312" w:cs="仿宋"/>
          <w:w w:val="95"/>
          <w:sz w:val="32"/>
          <w:szCs w:val="32"/>
        </w:rPr>
      </w:pPr>
      <w:r>
        <w:rPr>
          <w:rFonts w:hint="eastAsia" w:eastAsia="仿宋_GB2312" w:cs="仿宋"/>
          <w:w w:val="95"/>
          <w:sz w:val="32"/>
          <w:szCs w:val="32"/>
        </w:rPr>
        <w:t>十一、机构运行经费支出、国有资产占用情况及政府采购支出信息表</w:t>
      </w:r>
    </w:p>
    <w:p w14:paraId="5456CFAB">
      <w:pPr>
        <w:pStyle w:val="18"/>
        <w:rPr>
          <w:rFonts w:hint="default"/>
        </w:rPr>
      </w:pPr>
    </w:p>
    <w:p w14:paraId="48369A8E">
      <w:pPr>
        <w:pStyle w:val="8"/>
        <w:spacing w:after="0" w:line="360" w:lineRule="auto"/>
        <w:rPr>
          <w:rFonts w:eastAsia="仿宋_GB2312" w:cs="仿宋"/>
          <w:w w:val="95"/>
          <w:sz w:val="32"/>
          <w:szCs w:val="32"/>
        </w:rPr>
      </w:pPr>
    </w:p>
    <w:p w14:paraId="57E1C59F">
      <w:pPr>
        <w:pStyle w:val="8"/>
        <w:spacing w:after="0" w:line="360" w:lineRule="auto"/>
        <w:rPr>
          <w:rFonts w:eastAsia="仿宋_GB2312" w:cs="仿宋"/>
          <w:w w:val="95"/>
          <w:sz w:val="32"/>
          <w:szCs w:val="32"/>
        </w:rPr>
      </w:pPr>
    </w:p>
    <w:p w14:paraId="26A77F2B">
      <w:pPr>
        <w:pStyle w:val="8"/>
        <w:spacing w:after="0" w:line="360" w:lineRule="auto"/>
        <w:rPr>
          <w:rFonts w:eastAsia="仿宋_GB2312" w:cs="仿宋"/>
          <w:w w:val="95"/>
          <w:sz w:val="32"/>
          <w:szCs w:val="32"/>
        </w:rPr>
      </w:pPr>
    </w:p>
    <w:p w14:paraId="3ADBCD94">
      <w:pPr>
        <w:pStyle w:val="8"/>
        <w:spacing w:after="0" w:line="360" w:lineRule="auto"/>
        <w:rPr>
          <w:rFonts w:eastAsia="仿宋_GB2312" w:cs="仿宋"/>
          <w:w w:val="95"/>
          <w:sz w:val="32"/>
          <w:szCs w:val="32"/>
        </w:rPr>
      </w:pPr>
    </w:p>
    <w:p w14:paraId="6C966769">
      <w:pPr>
        <w:pStyle w:val="8"/>
        <w:spacing w:after="0" w:line="360" w:lineRule="auto"/>
        <w:rPr>
          <w:rFonts w:eastAsia="仿宋_GB2312" w:cs="仿宋"/>
          <w:w w:val="95"/>
          <w:sz w:val="32"/>
          <w:szCs w:val="32"/>
        </w:rPr>
      </w:pPr>
    </w:p>
    <w:p w14:paraId="6B92FB06">
      <w:pPr>
        <w:pStyle w:val="8"/>
        <w:spacing w:after="0" w:line="360" w:lineRule="auto"/>
        <w:rPr>
          <w:rFonts w:eastAsia="仿宋_GB2312" w:cs="仿宋"/>
          <w:w w:val="95"/>
          <w:sz w:val="32"/>
          <w:szCs w:val="32"/>
        </w:rPr>
      </w:pPr>
    </w:p>
    <w:p w14:paraId="7FD67A13">
      <w:pPr>
        <w:pStyle w:val="8"/>
        <w:spacing w:after="0" w:line="360" w:lineRule="auto"/>
        <w:rPr>
          <w:rFonts w:eastAsia="仿宋_GB2312" w:cs="仿宋"/>
          <w:w w:val="95"/>
          <w:sz w:val="32"/>
          <w:szCs w:val="32"/>
        </w:rPr>
      </w:pPr>
    </w:p>
    <w:p w14:paraId="6B1ABE2F">
      <w:pPr>
        <w:pStyle w:val="8"/>
        <w:spacing w:after="0" w:line="360" w:lineRule="auto"/>
        <w:rPr>
          <w:rFonts w:eastAsia="仿宋_GB2312" w:cs="仿宋"/>
          <w:w w:val="95"/>
          <w:sz w:val="32"/>
          <w:szCs w:val="32"/>
        </w:rPr>
      </w:pPr>
    </w:p>
    <w:p w14:paraId="250D2993">
      <w:pPr>
        <w:pStyle w:val="8"/>
        <w:spacing w:after="0" w:line="360" w:lineRule="auto"/>
        <w:rPr>
          <w:rFonts w:eastAsia="仿宋_GB2312" w:cs="仿宋"/>
          <w:w w:val="95"/>
          <w:sz w:val="32"/>
          <w:szCs w:val="32"/>
        </w:rPr>
      </w:pPr>
    </w:p>
    <w:p w14:paraId="1B20CA00">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rPr>
      </w:pPr>
      <w:bookmarkStart w:id="0" w:name="_Toc28822"/>
      <w:r>
        <w:rPr>
          <w:rFonts w:hint="eastAsia" w:ascii="方正小标宋简体" w:hAnsi="方正小标宋简体" w:eastAsia="方正小标宋简体" w:cs="方正小标宋简体"/>
          <w:b w:val="0"/>
          <w:bCs w:val="0"/>
          <w:sz w:val="36"/>
          <w:szCs w:val="36"/>
        </w:rPr>
        <w:t>第一部分  单位概况</w:t>
      </w:r>
      <w:bookmarkEnd w:id="0"/>
    </w:p>
    <w:p w14:paraId="4B13BF82">
      <w:pPr>
        <w:spacing w:line="600" w:lineRule="exact"/>
        <w:ind w:left="424" w:leftChars="202" w:firstLine="212" w:firstLineChars="66"/>
        <w:outlineLvl w:val="2"/>
        <w:rPr>
          <w:rFonts w:eastAsia="黑体" w:cs="黑体"/>
          <w:b/>
          <w:bCs/>
          <w:sz w:val="32"/>
          <w:szCs w:val="36"/>
        </w:rPr>
      </w:pPr>
      <w:r>
        <w:rPr>
          <w:rFonts w:hint="eastAsia" w:eastAsia="黑体" w:cs="黑体"/>
          <w:b/>
          <w:bCs/>
          <w:sz w:val="32"/>
          <w:szCs w:val="36"/>
        </w:rPr>
        <w:t>一、主要职能、职责</w:t>
      </w:r>
    </w:p>
    <w:p w14:paraId="363C1A5A">
      <w:pPr>
        <w:pStyle w:val="8"/>
        <w:spacing w:before="221" w:line="357" w:lineRule="auto"/>
        <w:ind w:left="135" w:right="111" w:firstLine="682"/>
        <w:rPr>
          <w:rFonts w:eastAsia="仿宋_GB2312" w:cstheme="minorBidi"/>
          <w:sz w:val="32"/>
          <w:szCs w:val="32"/>
        </w:rPr>
      </w:pPr>
      <w:r>
        <w:rPr>
          <w:rFonts w:hint="eastAsia" w:ascii="方正仿宋_GB2312" w:hAnsi="方正仿宋_GB2312" w:eastAsia="方正仿宋_GB2312" w:cs="方正仿宋_GB2312"/>
          <w:sz w:val="32"/>
          <w:szCs w:val="32"/>
        </w:rPr>
        <w:t>巴彦淖尔市蒙医医院是巴彦淖尔市卫生健康委员会部门所属公益二类事业单位。本单位的主要职责任务是：开展蒙医药研究，防治疾病，用传统的蒙医药成果与中、西医结合预防和治疗疾病，培养新的民族医药人才。</w:t>
      </w:r>
    </w:p>
    <w:p w14:paraId="74B6F5A9">
      <w:pPr>
        <w:spacing w:line="600" w:lineRule="exact"/>
        <w:ind w:left="424" w:leftChars="202" w:firstLine="212" w:firstLineChars="66"/>
        <w:outlineLvl w:val="2"/>
        <w:rPr>
          <w:rFonts w:eastAsia="黑体" w:cs="黑体"/>
          <w:b/>
          <w:bCs/>
          <w:sz w:val="32"/>
          <w:szCs w:val="36"/>
        </w:rPr>
      </w:pPr>
      <w:r>
        <w:rPr>
          <w:rFonts w:hint="eastAsia" w:eastAsia="黑体" w:cs="黑体"/>
          <w:b/>
          <w:bCs/>
          <w:sz w:val="32"/>
          <w:szCs w:val="36"/>
        </w:rPr>
        <w:t>二、单位机构设置及决算单位构成情况</w:t>
      </w:r>
    </w:p>
    <w:p w14:paraId="0FCF190E">
      <w:pPr>
        <w:pStyle w:val="8"/>
        <w:spacing w:before="64" w:line="371" w:lineRule="auto"/>
        <w:ind w:left="130" w:firstLine="663"/>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u w:val="single"/>
        </w:rPr>
        <w:t>1</w:t>
      </w:r>
      <w:r>
        <w:rPr>
          <w:rFonts w:hint="eastAsia" w:ascii="方正仿宋_GB2312" w:hAnsi="方正仿宋_GB2312" w:eastAsia="方正仿宋_GB2312" w:cs="方正仿宋_GB2312"/>
          <w:sz w:val="32"/>
          <w:szCs w:val="32"/>
        </w:rPr>
        <w:t>.根据单位职责分工，本单位内设机构包括门诊临床科室</w:t>
      </w:r>
      <w:r>
        <w:rPr>
          <w:rFonts w:hint="eastAsia" w:ascii="方正仿宋_GB2312" w:hAnsi="方正仿宋_GB2312" w:eastAsia="方正仿宋_GB2312" w:cs="方正仿宋_GB2312"/>
          <w:sz w:val="32"/>
          <w:szCs w:val="32"/>
          <w:u w:val="single"/>
        </w:rPr>
        <w:t>22</w:t>
      </w:r>
      <w:r>
        <w:rPr>
          <w:rFonts w:hint="eastAsia" w:ascii="方正仿宋_GB2312" w:hAnsi="方正仿宋_GB2312" w:eastAsia="方正仿宋_GB2312" w:cs="方正仿宋_GB2312"/>
          <w:sz w:val="32"/>
          <w:szCs w:val="32"/>
        </w:rPr>
        <w:t>个，医技科室</w:t>
      </w:r>
      <w:r>
        <w:rPr>
          <w:rFonts w:hint="eastAsia" w:ascii="方正仿宋_GB2312" w:hAnsi="方正仿宋_GB2312" w:eastAsia="方正仿宋_GB2312" w:cs="方正仿宋_GB2312"/>
          <w:sz w:val="32"/>
          <w:szCs w:val="32"/>
          <w:u w:val="single"/>
        </w:rPr>
        <w:t>7</w:t>
      </w:r>
      <w:r>
        <w:rPr>
          <w:rFonts w:hint="eastAsia" w:ascii="方正仿宋_GB2312" w:hAnsi="方正仿宋_GB2312" w:eastAsia="方正仿宋_GB2312" w:cs="方正仿宋_GB2312"/>
          <w:sz w:val="32"/>
          <w:szCs w:val="32"/>
        </w:rPr>
        <w:t>个、综合管理科室</w:t>
      </w:r>
      <w:r>
        <w:rPr>
          <w:rFonts w:hint="eastAsia" w:ascii="方正仿宋_GB2312" w:hAnsi="方正仿宋_GB2312" w:eastAsia="方正仿宋_GB2312" w:cs="方正仿宋_GB2312"/>
          <w:sz w:val="32"/>
          <w:szCs w:val="32"/>
          <w:u w:val="single"/>
        </w:rPr>
        <w:t>16</w:t>
      </w:r>
      <w:r>
        <w:rPr>
          <w:rFonts w:hint="eastAsia" w:ascii="方正仿宋_GB2312" w:hAnsi="方正仿宋_GB2312" w:eastAsia="方正仿宋_GB2312" w:cs="方正仿宋_GB2312"/>
          <w:sz w:val="32"/>
          <w:szCs w:val="32"/>
        </w:rPr>
        <w:t>个。本单位无下属单位。</w:t>
      </w:r>
    </w:p>
    <w:p w14:paraId="1115AC58">
      <w:pPr>
        <w:spacing w:before="64" w:after="120" w:line="371" w:lineRule="auto"/>
        <w:ind w:left="130" w:firstLine="663"/>
        <w:rPr>
          <w:rFonts w:eastAsia="仿宋_GB2312" w:cstheme="minorBidi"/>
          <w:sz w:val="32"/>
          <w:szCs w:val="32"/>
        </w:rPr>
      </w:pPr>
      <w:r>
        <w:rPr>
          <w:rFonts w:hint="eastAsia" w:ascii="方正仿宋_GB2312" w:hAnsi="方正仿宋_GB2312" w:eastAsia="方正仿宋_GB2312" w:cs="方正仿宋_GB2312"/>
          <w:sz w:val="32"/>
          <w:szCs w:val="32"/>
          <w:u w:val="single"/>
        </w:rPr>
        <w:t>2</w:t>
      </w:r>
      <w:r>
        <w:rPr>
          <w:rFonts w:hint="eastAsia" w:ascii="方正仿宋_GB2312" w:hAnsi="方正仿宋_GB2312" w:eastAsia="方正仿宋_GB2312" w:cs="方正仿宋_GB2312"/>
          <w:sz w:val="32"/>
          <w:szCs w:val="32"/>
        </w:rPr>
        <w:t>.从决算单位构成看，纳入本财政汇总决算编制范围的预算单位共计</w:t>
      </w:r>
      <w:r>
        <w:rPr>
          <w:rFonts w:hint="eastAsia" w:ascii="方正仿宋_GB2312" w:hAnsi="方正仿宋_GB2312" w:eastAsia="方正仿宋_GB2312" w:cs="方正仿宋_GB2312"/>
          <w:sz w:val="32"/>
          <w:szCs w:val="32"/>
          <w:u w:val="single"/>
        </w:rPr>
        <w:t>1</w:t>
      </w:r>
      <w:r>
        <w:rPr>
          <w:rFonts w:hint="eastAsia" w:ascii="方正仿宋_GB2312" w:hAnsi="方正仿宋_GB2312" w:eastAsia="方正仿宋_GB2312" w:cs="方正仿宋_GB2312"/>
          <w:sz w:val="32"/>
          <w:szCs w:val="32"/>
        </w:rPr>
        <w:t>家，具体包括：巴彦淖尔市蒙医医院。详细情况见表：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3616"/>
        <w:gridCol w:w="4035"/>
      </w:tblGrid>
      <w:tr w14:paraId="64BA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71" w:type="dxa"/>
          </w:tcPr>
          <w:p w14:paraId="44CE3C74">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序号</w:t>
            </w:r>
          </w:p>
        </w:tc>
        <w:tc>
          <w:tcPr>
            <w:tcW w:w="3616" w:type="dxa"/>
            <w:vAlign w:val="center"/>
          </w:tcPr>
          <w:p w14:paraId="2522199D">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单位名称</w:t>
            </w:r>
          </w:p>
        </w:tc>
        <w:tc>
          <w:tcPr>
            <w:tcW w:w="4035" w:type="dxa"/>
            <w:vAlign w:val="center"/>
          </w:tcPr>
          <w:p w14:paraId="0A475213">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单位性质</w:t>
            </w:r>
          </w:p>
        </w:tc>
      </w:tr>
      <w:tr w14:paraId="70AE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1" w:type="dxa"/>
            <w:vAlign w:val="center"/>
          </w:tcPr>
          <w:p w14:paraId="43EC950D">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u w:val="single"/>
                <w:lang w:bidi="ar"/>
              </w:rPr>
              <w:t>1</w:t>
            </w:r>
          </w:p>
        </w:tc>
        <w:tc>
          <w:tcPr>
            <w:tcW w:w="3616" w:type="dxa"/>
          </w:tcPr>
          <w:p w14:paraId="11815DD1">
            <w:pPr>
              <w:widowControl/>
              <w:jc w:val="left"/>
              <w:rPr>
                <w:rFonts w:ascii="仿宋" w:hAnsi="仿宋" w:eastAsia="仿宋" w:cs="仿宋"/>
                <w:color w:val="000000"/>
                <w:kern w:val="0"/>
                <w:sz w:val="31"/>
                <w:szCs w:val="31"/>
                <w:lang w:bidi="ar"/>
              </w:rPr>
            </w:pPr>
            <w:r>
              <w:rPr>
                <w:rFonts w:hint="eastAsia" w:ascii="仿宋" w:hAnsi="仿宋" w:eastAsia="仿宋" w:cs="仿宋"/>
                <w:color w:val="000000"/>
                <w:kern w:val="0"/>
                <w:sz w:val="32"/>
                <w:szCs w:val="32"/>
                <w:lang w:bidi="ar"/>
              </w:rPr>
              <w:t>巴彦淖尔</w:t>
            </w:r>
            <w:r>
              <w:rPr>
                <w:rFonts w:hint="eastAsia" w:ascii="仿宋_GB2312" w:hAnsi="仿宋_GB2312" w:eastAsia="仿宋_GB2312" w:cs="仿宋"/>
                <w:color w:val="000000"/>
                <w:kern w:val="0"/>
                <w:sz w:val="31"/>
                <w:szCs w:val="31"/>
                <w:lang w:bidi="ar"/>
              </w:rPr>
              <w:t>市蒙医医院</w:t>
            </w:r>
          </w:p>
        </w:tc>
        <w:tc>
          <w:tcPr>
            <w:tcW w:w="4035" w:type="dxa"/>
          </w:tcPr>
          <w:p w14:paraId="5E250857">
            <w:pPr>
              <w:widowControl/>
              <w:ind w:firstLine="620" w:firstLineChars="200"/>
              <w:jc w:val="left"/>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公益二类事业单位</w:t>
            </w:r>
          </w:p>
        </w:tc>
      </w:tr>
    </w:tbl>
    <w:p w14:paraId="7AC93E4E">
      <w:pPr>
        <w:spacing w:line="600" w:lineRule="exact"/>
        <w:ind w:firstLine="643" w:firstLineChars="200"/>
        <w:outlineLvl w:val="2"/>
        <w:rPr>
          <w:rFonts w:eastAsia="黑体" w:cs="黑体"/>
          <w:b/>
          <w:bCs/>
          <w:sz w:val="32"/>
          <w:szCs w:val="36"/>
        </w:rPr>
      </w:pPr>
      <w:r>
        <w:rPr>
          <w:rFonts w:hint="eastAsia" w:eastAsia="黑体" w:cs="黑体"/>
          <w:b/>
          <w:bCs/>
          <w:sz w:val="32"/>
          <w:szCs w:val="36"/>
        </w:rPr>
        <w:t>三、</w:t>
      </w:r>
      <w:r>
        <w:rPr>
          <w:rFonts w:hint="eastAsia" w:ascii="仿宋_GB2312" w:hAnsi="仿宋_GB2312" w:eastAsia="黑体" w:cs="黑体"/>
          <w:b/>
          <w:bCs/>
          <w:sz w:val="32"/>
          <w:szCs w:val="36"/>
        </w:rPr>
        <w:t>2025</w:t>
      </w:r>
      <w:r>
        <w:rPr>
          <w:rFonts w:hint="eastAsia" w:eastAsia="黑体" w:cs="黑体"/>
          <w:b/>
          <w:bCs/>
          <w:sz w:val="32"/>
          <w:szCs w:val="36"/>
        </w:rPr>
        <w:t>年度巴彦淖尔市蒙医医院主要工作完成情况</w:t>
      </w:r>
    </w:p>
    <w:p w14:paraId="7E963EB9">
      <w:pPr>
        <w:widowControl/>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bidi="ar"/>
        </w:rPr>
        <w:t>2025年，医院紧扣高质量发展主线，以党建为引领，深耕医疗服务、蒙医特色、科研教学、惠民服务及安全生产等重点工作，各项工作稳步推进、成效显著。</w:t>
      </w:r>
    </w:p>
    <w:p w14:paraId="611D74E1">
      <w:pPr>
        <w:widowControl/>
        <w:ind w:firstLine="643" w:firstLineChars="200"/>
        <w:jc w:val="left"/>
        <w:rPr>
          <w:rFonts w:ascii="方正仿宋_GB2312" w:hAnsi="方正仿宋_GB2312" w:eastAsia="方正仿宋_GB2312" w:cs="方正仿宋_GB2312"/>
          <w:kern w:val="0"/>
          <w:sz w:val="32"/>
          <w:szCs w:val="32"/>
          <w:lang w:bidi="ar"/>
        </w:rPr>
      </w:pPr>
      <w:r>
        <w:rPr>
          <w:rStyle w:val="22"/>
          <w:rFonts w:hint="eastAsia" w:ascii="方正仿宋_GB2312" w:hAnsi="方正仿宋_GB2312" w:eastAsia="方正仿宋_GB2312" w:cs="方正仿宋_GB2312"/>
          <w:kern w:val="0"/>
          <w:sz w:val="32"/>
          <w:szCs w:val="32"/>
          <w:lang w:bidi="ar"/>
        </w:rPr>
        <w:t>一、强化党建引领，夯实发展根基</w:t>
      </w:r>
      <w:r>
        <w:rPr>
          <w:rFonts w:hint="eastAsia" w:ascii="方正仿宋_GB2312" w:hAnsi="方正仿宋_GB2312" w:eastAsia="方正仿宋_GB2312" w:cs="方正仿宋_GB2312"/>
          <w:kern w:val="0"/>
          <w:sz w:val="32"/>
          <w:szCs w:val="32"/>
          <w:lang w:bidi="ar"/>
        </w:rPr>
        <w:t>。</w:t>
      </w:r>
    </w:p>
    <w:p w14:paraId="6C8BF0D8">
      <w:pPr>
        <w:widowControl/>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bidi="ar"/>
        </w:rPr>
        <w:t>院党委以习近平新时代中国特色社会主义思想为指导，深入学习贯彻党的二十届历次全会精神，推动党建与业务深度融合。常态化开展中央八项规定精神学习教育</w:t>
      </w:r>
      <w:bookmarkStart w:id="4" w:name="_GoBack"/>
      <w:bookmarkEnd w:id="4"/>
      <w:r>
        <w:rPr>
          <w:rFonts w:hint="eastAsia" w:ascii="方正仿宋_GB2312" w:hAnsi="方正仿宋_GB2312" w:eastAsia="方正仿宋_GB2312" w:cs="方正仿宋_GB2312"/>
          <w:kern w:val="0"/>
          <w:sz w:val="32"/>
          <w:szCs w:val="32"/>
          <w:lang w:bidi="ar"/>
        </w:rPr>
        <w:t>，从严整治医药卫生领域不正之风与腐败问题，净化医疗行业生态。严格落实党委领导下的院长负责制，规范决策流程，为医院各项工作开展提供坚实政治保障。</w:t>
      </w:r>
    </w:p>
    <w:p w14:paraId="2B84184E">
      <w:pPr>
        <w:widowControl/>
        <w:ind w:firstLine="643" w:firstLineChars="200"/>
        <w:jc w:val="left"/>
        <w:rPr>
          <w:rFonts w:ascii="方正仿宋_GB2312" w:hAnsi="方正仿宋_GB2312" w:eastAsia="方正仿宋_GB2312" w:cs="方正仿宋_GB2312"/>
          <w:kern w:val="0"/>
          <w:sz w:val="32"/>
          <w:szCs w:val="32"/>
          <w:lang w:bidi="ar"/>
        </w:rPr>
      </w:pPr>
      <w:r>
        <w:rPr>
          <w:rStyle w:val="22"/>
          <w:rFonts w:hint="eastAsia" w:ascii="方正仿宋_GB2312" w:hAnsi="方正仿宋_GB2312" w:eastAsia="方正仿宋_GB2312" w:cs="方正仿宋_GB2312"/>
          <w:kern w:val="0"/>
          <w:sz w:val="32"/>
          <w:szCs w:val="32"/>
          <w:lang w:bidi="ar"/>
        </w:rPr>
        <w:t>二、深耕医疗主业，提升服务质效</w:t>
      </w:r>
      <w:r>
        <w:rPr>
          <w:rFonts w:hint="eastAsia" w:ascii="方正仿宋_GB2312" w:hAnsi="方正仿宋_GB2312" w:eastAsia="方正仿宋_GB2312" w:cs="方正仿宋_GB2312"/>
          <w:kern w:val="0"/>
          <w:sz w:val="32"/>
          <w:szCs w:val="32"/>
          <w:lang w:bidi="ar"/>
        </w:rPr>
        <w:t>。</w:t>
      </w:r>
    </w:p>
    <w:p w14:paraId="5603175D">
      <w:pPr>
        <w:widowControl/>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bidi="ar"/>
        </w:rPr>
        <w:t>全年医院总收入</w:t>
      </w:r>
      <w:r>
        <w:rPr>
          <w:rFonts w:hint="eastAsia" w:ascii="方正仿宋_GB2312" w:hAnsi="方正仿宋_GB2312" w:eastAsia="方正仿宋_GB2312" w:cs="方正仿宋_GB2312"/>
          <w:kern w:val="0"/>
          <w:sz w:val="32"/>
          <w:szCs w:val="32"/>
          <w:u w:val="single"/>
          <w:lang w:bidi="ar"/>
        </w:rPr>
        <w:t>6508.93</w:t>
      </w:r>
      <w:r>
        <w:rPr>
          <w:rFonts w:hint="eastAsia" w:ascii="方正仿宋_GB2312" w:hAnsi="方正仿宋_GB2312" w:eastAsia="方正仿宋_GB2312" w:cs="方正仿宋_GB2312"/>
          <w:kern w:val="0"/>
          <w:sz w:val="32"/>
          <w:szCs w:val="32"/>
          <w:lang w:bidi="ar"/>
        </w:rPr>
        <w:t>万元，同比增长</w:t>
      </w:r>
      <w:r>
        <w:rPr>
          <w:rFonts w:hint="eastAsia" w:ascii="方正仿宋_GB2312" w:hAnsi="方正仿宋_GB2312" w:eastAsia="方正仿宋_GB2312" w:cs="方正仿宋_GB2312"/>
          <w:kern w:val="0"/>
          <w:sz w:val="32"/>
          <w:szCs w:val="32"/>
          <w:u w:val="single"/>
          <w:lang w:bidi="ar"/>
        </w:rPr>
        <w:t>3.75%</w:t>
      </w:r>
      <w:r>
        <w:rPr>
          <w:rFonts w:hint="eastAsia" w:ascii="方正仿宋_GB2312" w:hAnsi="方正仿宋_GB2312" w:eastAsia="方正仿宋_GB2312" w:cs="方正仿宋_GB2312"/>
          <w:kern w:val="0"/>
          <w:sz w:val="32"/>
          <w:szCs w:val="32"/>
          <w:lang w:bidi="ar"/>
        </w:rPr>
        <w:t>。持续优化医疗服务，压缩患者就医费用与住院时长，出院患者平均住院日同比减少</w:t>
      </w:r>
      <w:r>
        <w:rPr>
          <w:rFonts w:hint="eastAsia" w:ascii="方正仿宋_GB2312" w:hAnsi="方正仿宋_GB2312" w:eastAsia="方正仿宋_GB2312" w:cs="方正仿宋_GB2312"/>
          <w:kern w:val="0"/>
          <w:sz w:val="32"/>
          <w:szCs w:val="32"/>
          <w:u w:val="single"/>
          <w:lang w:bidi="ar"/>
        </w:rPr>
        <w:t>1.72</w:t>
      </w:r>
      <w:r>
        <w:rPr>
          <w:rFonts w:hint="eastAsia" w:ascii="方正仿宋_GB2312" w:hAnsi="方正仿宋_GB2312" w:eastAsia="方正仿宋_GB2312" w:cs="方正仿宋_GB2312"/>
          <w:kern w:val="0"/>
          <w:sz w:val="32"/>
          <w:szCs w:val="32"/>
          <w:lang w:bidi="ar"/>
        </w:rPr>
        <w:t>天。蒙医特色优势凸显，门诊、住院患者蒙医非药物疗法占比分别达</w:t>
      </w:r>
      <w:r>
        <w:rPr>
          <w:rFonts w:hint="eastAsia" w:ascii="方正仿宋_GB2312" w:hAnsi="方正仿宋_GB2312" w:eastAsia="方正仿宋_GB2312" w:cs="方正仿宋_GB2312"/>
          <w:kern w:val="0"/>
          <w:sz w:val="32"/>
          <w:szCs w:val="32"/>
          <w:u w:val="single"/>
          <w:lang w:bidi="ar"/>
        </w:rPr>
        <w:t>49.65%</w:t>
      </w:r>
      <w:r>
        <w:rPr>
          <w:rFonts w:hint="eastAsia" w:ascii="方正仿宋_GB2312" w:hAnsi="方正仿宋_GB2312" w:eastAsia="方正仿宋_GB2312" w:cs="方正仿宋_GB2312"/>
          <w:kern w:val="0"/>
          <w:sz w:val="32"/>
          <w:szCs w:val="32"/>
          <w:lang w:bidi="ar"/>
        </w:rPr>
        <w:t>、</w:t>
      </w:r>
      <w:r>
        <w:rPr>
          <w:rFonts w:hint="eastAsia" w:ascii="方正仿宋_GB2312" w:hAnsi="方正仿宋_GB2312" w:eastAsia="方正仿宋_GB2312" w:cs="方正仿宋_GB2312"/>
          <w:kern w:val="0"/>
          <w:sz w:val="32"/>
          <w:szCs w:val="32"/>
          <w:u w:val="single"/>
          <w:lang w:bidi="ar"/>
        </w:rPr>
        <w:t>86.74%</w:t>
      </w:r>
      <w:r>
        <w:rPr>
          <w:rFonts w:hint="eastAsia" w:ascii="方正仿宋_GB2312" w:hAnsi="方正仿宋_GB2312" w:eastAsia="方正仿宋_GB2312" w:cs="方正仿宋_GB2312"/>
          <w:kern w:val="0"/>
          <w:sz w:val="32"/>
          <w:szCs w:val="32"/>
          <w:lang w:bidi="ar"/>
        </w:rPr>
        <w:t>。持续优化就医环境、精简服务流程，推进检查检验结果互认、医保移动支付，升级护理及专科病房，精准适配群众就医需求。学科建设持续完善，新增特色门诊、独立临床科室，康复科获批自治区蒙医优势专科建设项目。同时创新拓展多项精准诊疗、蒙医特色治疗及检验项目，填补多项技术空白，有效提升诊疗服务能力。</w:t>
      </w:r>
    </w:p>
    <w:p w14:paraId="0B582F44">
      <w:pPr>
        <w:widowControl/>
        <w:ind w:firstLine="643" w:firstLineChars="200"/>
        <w:jc w:val="left"/>
        <w:rPr>
          <w:rFonts w:ascii="方正仿宋_GB2312" w:hAnsi="方正仿宋_GB2312" w:eastAsia="方正仿宋_GB2312" w:cs="方正仿宋_GB2312"/>
          <w:kern w:val="0"/>
          <w:sz w:val="32"/>
          <w:szCs w:val="32"/>
          <w:lang w:bidi="ar"/>
        </w:rPr>
      </w:pPr>
      <w:r>
        <w:rPr>
          <w:rStyle w:val="22"/>
          <w:rFonts w:hint="eastAsia" w:ascii="方正仿宋_GB2312" w:hAnsi="方正仿宋_GB2312" w:eastAsia="方正仿宋_GB2312" w:cs="方正仿宋_GB2312"/>
          <w:kern w:val="0"/>
          <w:sz w:val="32"/>
          <w:szCs w:val="32"/>
          <w:lang w:bidi="ar"/>
        </w:rPr>
        <w:t>三、聚焦蒙医创新，擦亮特色品牌</w:t>
      </w:r>
      <w:r>
        <w:rPr>
          <w:rFonts w:hint="eastAsia" w:ascii="方正仿宋_GB2312" w:hAnsi="方正仿宋_GB2312" w:eastAsia="方正仿宋_GB2312" w:cs="方正仿宋_GB2312"/>
          <w:kern w:val="0"/>
          <w:sz w:val="32"/>
          <w:szCs w:val="32"/>
          <w:lang w:bidi="ar"/>
        </w:rPr>
        <w:t>。</w:t>
      </w:r>
    </w:p>
    <w:p w14:paraId="1EB78553">
      <w:pPr>
        <w:widowControl/>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bidi="ar"/>
        </w:rPr>
        <w:t>医院蒙药制剂中心顺利通过自治区验收、换发资质证书，修订完善千余项质量管理规范，新增</w:t>
      </w:r>
      <w:r>
        <w:rPr>
          <w:rFonts w:hint="eastAsia" w:ascii="方正仿宋_GB2312" w:hAnsi="方正仿宋_GB2312" w:eastAsia="方正仿宋_GB2312" w:cs="方正仿宋_GB2312"/>
          <w:kern w:val="0"/>
          <w:sz w:val="32"/>
          <w:szCs w:val="32"/>
          <w:u w:val="single"/>
          <w:lang w:bidi="ar"/>
        </w:rPr>
        <w:t>17</w:t>
      </w:r>
      <w:r>
        <w:rPr>
          <w:rFonts w:hint="eastAsia" w:ascii="方正仿宋_GB2312" w:hAnsi="方正仿宋_GB2312" w:eastAsia="方正仿宋_GB2312" w:cs="方正仿宋_GB2312"/>
          <w:kern w:val="0"/>
          <w:sz w:val="32"/>
          <w:szCs w:val="32"/>
          <w:lang w:bidi="ar"/>
        </w:rPr>
        <w:t>个个性化制剂品种，研制</w:t>
      </w:r>
      <w:r>
        <w:rPr>
          <w:rFonts w:hint="eastAsia" w:ascii="方正仿宋_GB2312" w:hAnsi="方正仿宋_GB2312" w:eastAsia="方正仿宋_GB2312" w:cs="方正仿宋_GB2312"/>
          <w:kern w:val="0"/>
          <w:sz w:val="32"/>
          <w:szCs w:val="32"/>
          <w:u w:val="single"/>
          <w:lang w:bidi="ar"/>
        </w:rPr>
        <w:t>2</w:t>
      </w:r>
      <w:r>
        <w:rPr>
          <w:rFonts w:hint="eastAsia" w:ascii="方正仿宋_GB2312" w:hAnsi="方正仿宋_GB2312" w:eastAsia="方正仿宋_GB2312" w:cs="方正仿宋_GB2312"/>
          <w:kern w:val="0"/>
          <w:sz w:val="32"/>
          <w:szCs w:val="32"/>
          <w:lang w:bidi="ar"/>
        </w:rPr>
        <w:t>款蒙药茶饮，丰富特色健康产品供给。稳步推进信息化升级，完成传染病监测、诊疗审核等系统改造，上线门诊诊疗信息管理系统，完善数据上报与网络安全防护体系。深化跨境医疗合作，服务千余名蒙古国患者及口岸司机，开展跨国医疗技术交流，搭建蒙医药国际交流平台。</w:t>
      </w:r>
    </w:p>
    <w:p w14:paraId="4312EFF2">
      <w:pPr>
        <w:widowControl/>
        <w:ind w:firstLine="643" w:firstLineChars="200"/>
        <w:jc w:val="left"/>
        <w:rPr>
          <w:rFonts w:ascii="方正仿宋_GB2312" w:hAnsi="方正仿宋_GB2312" w:eastAsia="方正仿宋_GB2312" w:cs="方正仿宋_GB2312"/>
          <w:kern w:val="0"/>
          <w:sz w:val="32"/>
          <w:szCs w:val="32"/>
          <w:lang w:bidi="ar"/>
        </w:rPr>
      </w:pPr>
      <w:r>
        <w:rPr>
          <w:rStyle w:val="22"/>
          <w:rFonts w:hint="eastAsia" w:ascii="方正仿宋_GB2312" w:hAnsi="方正仿宋_GB2312" w:eastAsia="方正仿宋_GB2312" w:cs="方正仿宋_GB2312"/>
          <w:kern w:val="0"/>
          <w:sz w:val="32"/>
          <w:szCs w:val="32"/>
          <w:lang w:bidi="ar"/>
        </w:rPr>
        <w:t>四、抓实科教人才，积蓄发展动能</w:t>
      </w:r>
      <w:r>
        <w:rPr>
          <w:rFonts w:hint="eastAsia" w:ascii="方正仿宋_GB2312" w:hAnsi="方正仿宋_GB2312" w:eastAsia="方正仿宋_GB2312" w:cs="方正仿宋_GB2312"/>
          <w:kern w:val="0"/>
          <w:sz w:val="32"/>
          <w:szCs w:val="32"/>
          <w:lang w:bidi="ar"/>
        </w:rPr>
        <w:t>。</w:t>
      </w:r>
    </w:p>
    <w:p w14:paraId="1D951005">
      <w:pPr>
        <w:widowControl/>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bidi="ar"/>
        </w:rPr>
        <w:t>科研工作有序推进，成功申报、获批多项省市级科研及继续教育项目。圆满完成规培招生、临床带教及师承传承工作，保障蒙医药人才接续培养。通过外出进修、多渠道招聘、编制申报等方式扩充人才队伍，全年引进</w:t>
      </w:r>
      <w:r>
        <w:rPr>
          <w:rFonts w:hint="eastAsia" w:ascii="方正仿宋_GB2312" w:hAnsi="方正仿宋_GB2312" w:eastAsia="方正仿宋_GB2312" w:cs="方正仿宋_GB2312"/>
          <w:kern w:val="0"/>
          <w:sz w:val="32"/>
          <w:szCs w:val="32"/>
          <w:u w:val="single"/>
          <w:lang w:bidi="ar"/>
        </w:rPr>
        <w:t>7</w:t>
      </w:r>
      <w:r>
        <w:rPr>
          <w:rFonts w:hint="eastAsia" w:ascii="方正仿宋_GB2312" w:hAnsi="方正仿宋_GB2312" w:eastAsia="方正仿宋_GB2312" w:cs="方正仿宋_GB2312"/>
          <w:kern w:val="0"/>
          <w:sz w:val="32"/>
          <w:szCs w:val="32"/>
          <w:lang w:bidi="ar"/>
        </w:rPr>
        <w:t>名专业技术人才，储备优质学科发展力量。</w:t>
      </w:r>
    </w:p>
    <w:p w14:paraId="283F448F">
      <w:pPr>
        <w:widowControl/>
        <w:ind w:firstLine="643" w:firstLineChars="200"/>
        <w:jc w:val="left"/>
        <w:rPr>
          <w:rFonts w:ascii="方正仿宋_GB2312" w:hAnsi="方正仿宋_GB2312" w:eastAsia="方正仿宋_GB2312" w:cs="方正仿宋_GB2312"/>
          <w:kern w:val="0"/>
          <w:sz w:val="32"/>
          <w:szCs w:val="32"/>
          <w:lang w:bidi="ar"/>
        </w:rPr>
      </w:pPr>
      <w:r>
        <w:rPr>
          <w:rStyle w:val="22"/>
          <w:rFonts w:hint="eastAsia" w:ascii="方正仿宋_GB2312" w:hAnsi="方正仿宋_GB2312" w:eastAsia="方正仿宋_GB2312" w:cs="方正仿宋_GB2312"/>
          <w:kern w:val="0"/>
          <w:sz w:val="32"/>
          <w:szCs w:val="32"/>
          <w:lang w:bidi="ar"/>
        </w:rPr>
        <w:t>五、践行惠民初心，彰显社会责任</w:t>
      </w:r>
      <w:r>
        <w:rPr>
          <w:rFonts w:hint="eastAsia" w:ascii="方正仿宋_GB2312" w:hAnsi="方正仿宋_GB2312" w:eastAsia="方正仿宋_GB2312" w:cs="方正仿宋_GB2312"/>
          <w:kern w:val="0"/>
          <w:sz w:val="32"/>
          <w:szCs w:val="32"/>
          <w:lang w:bidi="ar"/>
        </w:rPr>
        <w:t>。</w:t>
      </w:r>
    </w:p>
    <w:p w14:paraId="6288E7F7">
      <w:pPr>
        <w:widowControl/>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bidi="ar"/>
        </w:rPr>
        <w:t>常态化开展社区、基层义诊及重大活动医疗保障，深入乡镇苏木推进优质医疗资源下沉，服务基层群众千余人次。柔性引进知名专家坐诊带教，惠及患者</w:t>
      </w:r>
      <w:r>
        <w:rPr>
          <w:rFonts w:hint="eastAsia" w:ascii="方正仿宋_GB2312" w:hAnsi="方正仿宋_GB2312" w:eastAsia="方正仿宋_GB2312" w:cs="方正仿宋_GB2312"/>
          <w:kern w:val="0"/>
          <w:sz w:val="32"/>
          <w:szCs w:val="32"/>
          <w:u w:val="single"/>
          <w:lang w:bidi="ar"/>
        </w:rPr>
        <w:t>800</w:t>
      </w:r>
      <w:r>
        <w:rPr>
          <w:rFonts w:hint="eastAsia" w:ascii="方正仿宋_GB2312" w:hAnsi="方正仿宋_GB2312" w:eastAsia="方正仿宋_GB2312" w:cs="方正仿宋_GB2312"/>
          <w:kern w:val="0"/>
          <w:sz w:val="32"/>
          <w:szCs w:val="32"/>
          <w:lang w:bidi="ar"/>
        </w:rPr>
        <w:t>余人，同步提升院内医师专业能力。依托新媒体平台广泛开展宣传报道，多篇稿件被各级媒体刊发，有效提升医院品牌影响力。</w:t>
      </w:r>
    </w:p>
    <w:p w14:paraId="2ABEDD4C">
      <w:pPr>
        <w:widowControl/>
        <w:ind w:firstLine="643" w:firstLineChars="200"/>
        <w:jc w:val="left"/>
        <w:rPr>
          <w:rFonts w:ascii="方正仿宋_GB2312" w:hAnsi="方正仿宋_GB2312" w:eastAsia="方正仿宋_GB2312" w:cs="方正仿宋_GB2312"/>
          <w:kern w:val="0"/>
          <w:sz w:val="32"/>
          <w:szCs w:val="32"/>
          <w:lang w:bidi="ar"/>
        </w:rPr>
      </w:pPr>
      <w:r>
        <w:rPr>
          <w:rStyle w:val="22"/>
          <w:rFonts w:hint="eastAsia" w:ascii="方正仿宋_GB2312" w:hAnsi="方正仿宋_GB2312" w:eastAsia="方正仿宋_GB2312" w:cs="方正仿宋_GB2312"/>
          <w:kern w:val="0"/>
          <w:sz w:val="32"/>
          <w:szCs w:val="32"/>
          <w:lang w:bidi="ar"/>
        </w:rPr>
        <w:t>六、严守安全底线，优化运营建设</w:t>
      </w:r>
      <w:r>
        <w:rPr>
          <w:rFonts w:hint="eastAsia" w:ascii="方正仿宋_GB2312" w:hAnsi="方正仿宋_GB2312" w:eastAsia="方正仿宋_GB2312" w:cs="方正仿宋_GB2312"/>
          <w:kern w:val="0"/>
          <w:sz w:val="32"/>
          <w:szCs w:val="32"/>
          <w:lang w:bidi="ar"/>
        </w:rPr>
        <w:t>。</w:t>
      </w:r>
    </w:p>
    <w:p w14:paraId="7BDD68A1">
      <w:pPr>
        <w:widowControl/>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bidi="ar"/>
        </w:rPr>
        <w:t>投入专项资金改造供暖、消防等基础设施，常态化开展安全排查、隐患整改及安全培训，筑牢院感与安全生产防线。深化内部管理改革，精简行政人员、严控运营成本、化解存量债务，有效提升医院运营效能。重点推进门诊住院楼新建项目，目前核心基础、人防工程已全部完工，建成后将大幅提升医院诊疗承载能力与就医服务水平。</w:t>
      </w:r>
    </w:p>
    <w:p w14:paraId="22564BFF">
      <w:pPr>
        <w:pStyle w:val="18"/>
        <w:rPr>
          <w:rFonts w:hint="default"/>
        </w:rPr>
      </w:pPr>
    </w:p>
    <w:p w14:paraId="3EAC51A1">
      <w:pPr>
        <w:pStyle w:val="3"/>
        <w:tabs>
          <w:tab w:val="left" w:pos="4392"/>
        </w:tabs>
        <w:adjustRightInd/>
        <w:snapToGrid/>
        <w:spacing w:before="0" w:after="0" w:line="360" w:lineRule="auto"/>
        <w:ind w:firstLine="0" w:firstLineChars="0"/>
        <w:jc w:val="center"/>
        <w:rPr>
          <w:rFonts w:ascii="方正小标宋简体" w:hAnsi="方正小标宋简体" w:eastAsia="方正小标宋简体" w:cs="方正小标宋简体"/>
          <w:b w:val="0"/>
          <w:bCs w:val="0"/>
          <w:sz w:val="36"/>
          <w:szCs w:val="36"/>
        </w:rPr>
      </w:pPr>
      <w:bookmarkStart w:id="1" w:name="_Toc990"/>
      <w:r>
        <w:rPr>
          <w:rFonts w:hint="eastAsia" w:ascii="方正小标宋简体" w:hAnsi="方正小标宋简体" w:eastAsia="方正小标宋简体" w:cs="方正小标宋简体"/>
          <w:b w:val="0"/>
          <w:bCs w:val="0"/>
          <w:sz w:val="36"/>
          <w:szCs w:val="36"/>
        </w:rPr>
        <w:t>第二部分  2025年度单位决算情况说明</w:t>
      </w:r>
      <w:bookmarkEnd w:id="1"/>
    </w:p>
    <w:p w14:paraId="66453DA5">
      <w:pPr>
        <w:spacing w:line="600" w:lineRule="exact"/>
        <w:ind w:firstLine="643" w:firstLineChars="200"/>
        <w:outlineLvl w:val="2"/>
        <w:rPr>
          <w:rFonts w:eastAsia="黑体" w:cs="黑体"/>
          <w:b/>
          <w:bCs/>
          <w:sz w:val="32"/>
          <w:szCs w:val="36"/>
        </w:rPr>
      </w:pPr>
      <w:r>
        <w:rPr>
          <w:rFonts w:hint="eastAsia" w:eastAsia="黑体" w:cs="黑体"/>
          <w:b/>
          <w:bCs/>
          <w:sz w:val="32"/>
          <w:szCs w:val="36"/>
        </w:rPr>
        <w:t>一、收入支出决算总体情况说明</w:t>
      </w:r>
    </w:p>
    <w:p w14:paraId="2FA532EE">
      <w:pPr>
        <w:pStyle w:val="8"/>
        <w:spacing w:after="0" w:line="560" w:lineRule="exact"/>
        <w:ind w:firstLine="640" w:firstLineChars="200"/>
        <w:rPr>
          <w:rFonts w:eastAsia="仿宋_GB2312" w:cs="仿宋"/>
          <w:sz w:val="32"/>
          <w:szCs w:val="32"/>
        </w:rPr>
      </w:pPr>
      <w:r>
        <w:rPr>
          <w:rFonts w:hint="eastAsia" w:ascii="方正仿宋_GB2312" w:hAnsi="方正仿宋_GB2312" w:eastAsia="方正仿宋_GB2312" w:cs="方正仿宋_GB2312"/>
          <w:sz w:val="32"/>
          <w:szCs w:val="32"/>
          <w:u w:val="single"/>
        </w:rPr>
        <w:t>巴彦淖尔市蒙医医院</w:t>
      </w:r>
      <w:r>
        <w:rPr>
          <w:rFonts w:hint="eastAsia" w:ascii="仿宋_GB2312" w:hAnsi="仿宋_GB2312" w:eastAsia="仿宋_GB2312" w:cs="仿宋"/>
          <w:sz w:val="32"/>
          <w:szCs w:val="32"/>
        </w:rPr>
        <w:t>2025</w:t>
      </w:r>
      <w:r>
        <w:rPr>
          <w:rFonts w:eastAsia="仿宋_GB2312"/>
          <w:sz w:val="32"/>
          <w:szCs w:val="32"/>
        </w:rPr>
        <w:t>年度</w:t>
      </w:r>
      <w:r>
        <w:rPr>
          <w:rFonts w:hint="eastAsia" w:eastAsia="仿宋_GB2312" w:cs="仿宋"/>
          <w:sz w:val="32"/>
          <w:szCs w:val="32"/>
        </w:rPr>
        <w:t>收入、支出决算总计</w:t>
      </w:r>
      <w:r>
        <w:rPr>
          <w:rFonts w:hint="eastAsia" w:eastAsia="仿宋_GB2312" w:cs="仿宋"/>
          <w:sz w:val="32"/>
          <w:szCs w:val="32"/>
          <w:u w:val="single"/>
        </w:rPr>
        <w:t xml:space="preserve">        6869.21</w:t>
      </w:r>
      <w:r>
        <w:rPr>
          <w:rFonts w:hint="eastAsia" w:eastAsia="仿宋_GB2312" w:cs="仿宋"/>
          <w:sz w:val="32"/>
          <w:szCs w:val="32"/>
        </w:rPr>
        <w:t>万元。与年初预算相比，收、支总计各增加</w:t>
      </w:r>
      <w:r>
        <w:rPr>
          <w:rFonts w:hint="eastAsia" w:eastAsia="仿宋_GB2312" w:cs="仿宋"/>
          <w:sz w:val="32"/>
          <w:szCs w:val="32"/>
          <w:u w:val="single"/>
        </w:rPr>
        <w:t>613.85</w:t>
      </w:r>
      <w:r>
        <w:rPr>
          <w:rFonts w:hint="eastAsia" w:eastAsia="仿宋_GB2312" w:cs="仿宋"/>
          <w:sz w:val="32"/>
          <w:szCs w:val="32"/>
        </w:rPr>
        <w:t>万元，增长</w:t>
      </w:r>
      <w:r>
        <w:rPr>
          <w:rFonts w:hint="eastAsia" w:eastAsia="仿宋_GB2312" w:cs="仿宋"/>
          <w:sz w:val="32"/>
          <w:szCs w:val="32"/>
          <w:u w:val="single"/>
        </w:rPr>
        <w:t>9.81</w:t>
      </w:r>
      <w:r>
        <w:rPr>
          <w:rFonts w:hint="eastAsia" w:ascii="仿宋_GB2312" w:hAnsi="仿宋_GB2312" w:eastAsia="仿宋_GB2312" w:cs="仿宋"/>
          <w:sz w:val="32"/>
          <w:szCs w:val="32"/>
          <w:u w:val="single"/>
        </w:rPr>
        <w:t>%</w:t>
      </w:r>
      <w:r>
        <w:rPr>
          <w:rFonts w:hint="eastAsia" w:eastAsia="仿宋_GB2312" w:cs="仿宋"/>
          <w:sz w:val="32"/>
          <w:szCs w:val="32"/>
        </w:rPr>
        <w:t>，变动原因：新建医院工程使用上年结转资金；与上年决算相比，收、支总计各增加</w:t>
      </w:r>
      <w:r>
        <w:rPr>
          <w:rFonts w:hint="eastAsia" w:eastAsia="仿宋_GB2312" w:cs="仿宋"/>
          <w:sz w:val="32"/>
          <w:szCs w:val="32"/>
          <w:u w:val="single"/>
        </w:rPr>
        <w:t>613.85</w:t>
      </w:r>
      <w:r>
        <w:rPr>
          <w:rFonts w:hint="eastAsia" w:eastAsia="仿宋_GB2312" w:cs="仿宋"/>
          <w:sz w:val="32"/>
          <w:szCs w:val="32"/>
        </w:rPr>
        <w:t>万元，增长</w:t>
      </w:r>
      <w:r>
        <w:rPr>
          <w:rFonts w:hint="eastAsia" w:eastAsia="仿宋_GB2312" w:cs="仿宋"/>
          <w:sz w:val="32"/>
          <w:szCs w:val="32"/>
          <w:u w:val="single"/>
        </w:rPr>
        <w:t>9.81</w:t>
      </w:r>
      <w:r>
        <w:rPr>
          <w:rFonts w:hint="eastAsia" w:ascii="仿宋_GB2312" w:hAnsi="仿宋_GB2312" w:eastAsia="仿宋_GB2312" w:cs="仿宋"/>
          <w:sz w:val="32"/>
          <w:szCs w:val="32"/>
          <w:u w:val="single"/>
        </w:rPr>
        <w:t>%</w:t>
      </w:r>
      <w:r>
        <w:rPr>
          <w:rFonts w:hint="eastAsia" w:eastAsia="仿宋_GB2312" w:cs="仿宋"/>
          <w:sz w:val="32"/>
          <w:szCs w:val="32"/>
        </w:rPr>
        <w:t>。其中：</w:t>
      </w:r>
    </w:p>
    <w:p w14:paraId="4D719502">
      <w:pPr>
        <w:pStyle w:val="8"/>
        <w:tabs>
          <w:tab w:val="left" w:pos="4275"/>
        </w:tabs>
        <w:spacing w:after="0"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（一）收入决算总计</w:t>
      </w:r>
      <w:r>
        <w:rPr>
          <w:rFonts w:hint="eastAsia" w:eastAsia="仿宋_GB2312" w:cs="仿宋"/>
          <w:sz w:val="32"/>
          <w:szCs w:val="32"/>
          <w:u w:val="single"/>
        </w:rPr>
        <w:t>6869.21</w:t>
      </w:r>
      <w:r>
        <w:rPr>
          <w:rFonts w:hint="eastAsia" w:ascii="楷体" w:hAnsi="楷体" w:eastAsia="楷体" w:cs="楷体"/>
          <w:b/>
          <w:bCs/>
          <w:sz w:val="32"/>
          <w:szCs w:val="32"/>
        </w:rPr>
        <w:t>万元。包括：</w:t>
      </w:r>
    </w:p>
    <w:p w14:paraId="116320B1">
      <w:pPr>
        <w:pStyle w:val="8"/>
        <w:spacing w:after="0" w:line="560" w:lineRule="exact"/>
        <w:ind w:firstLine="640" w:firstLineChars="200"/>
        <w:rPr>
          <w:rFonts w:eastAsia="仿宋_GB2312" w:cs="仿宋"/>
          <w:sz w:val="32"/>
          <w:szCs w:val="32"/>
        </w:rPr>
      </w:pPr>
      <w:r>
        <w:rPr>
          <w:rFonts w:hint="eastAsia" w:eastAsia="仿宋_GB2312" w:cs="仿宋"/>
          <w:sz w:val="32"/>
          <w:szCs w:val="32"/>
          <w:u w:val="single"/>
        </w:rPr>
        <w:t>1</w:t>
      </w:r>
      <w:r>
        <w:rPr>
          <w:rFonts w:hint="eastAsia" w:eastAsia="仿宋_GB2312" w:cs="仿宋"/>
          <w:sz w:val="32"/>
          <w:szCs w:val="32"/>
        </w:rPr>
        <w:t>.本年收入决算合计</w:t>
      </w:r>
      <w:r>
        <w:rPr>
          <w:rFonts w:hint="eastAsia" w:eastAsia="仿宋_GB2312" w:cs="仿宋"/>
          <w:sz w:val="32"/>
          <w:szCs w:val="32"/>
          <w:u w:val="single"/>
        </w:rPr>
        <w:t>6550.93</w:t>
      </w:r>
      <w:r>
        <w:rPr>
          <w:rFonts w:hint="eastAsia" w:eastAsia="仿宋_GB2312" w:cs="仿宋"/>
          <w:sz w:val="32"/>
          <w:szCs w:val="32"/>
        </w:rPr>
        <w:t>万元。与上年决算相比，增加</w:t>
      </w:r>
      <w:r>
        <w:rPr>
          <w:rFonts w:hint="eastAsia" w:eastAsia="仿宋_GB2312" w:cs="仿宋"/>
          <w:sz w:val="32"/>
          <w:szCs w:val="32"/>
          <w:u w:val="single"/>
        </w:rPr>
        <w:t>370.39</w:t>
      </w:r>
      <w:r>
        <w:rPr>
          <w:rFonts w:hint="eastAsia" w:eastAsia="仿宋_GB2312" w:cs="仿宋"/>
          <w:sz w:val="32"/>
          <w:szCs w:val="32"/>
        </w:rPr>
        <w:t>万元，增长</w:t>
      </w:r>
      <w:r>
        <w:rPr>
          <w:rFonts w:hint="eastAsia" w:eastAsia="仿宋_GB2312" w:cs="仿宋"/>
          <w:sz w:val="32"/>
          <w:szCs w:val="32"/>
          <w:u w:val="single"/>
        </w:rPr>
        <w:t>5.99</w:t>
      </w:r>
      <w:r>
        <w:rPr>
          <w:rFonts w:hint="eastAsia" w:ascii="仿宋_GB2312" w:hAnsi="仿宋_GB2312" w:eastAsia="仿宋_GB2312" w:cs="仿宋"/>
          <w:sz w:val="32"/>
          <w:szCs w:val="32"/>
          <w:u w:val="single"/>
        </w:rPr>
        <w:t>%</w:t>
      </w:r>
      <w:r>
        <w:rPr>
          <w:rFonts w:hint="eastAsia" w:eastAsia="仿宋_GB2312" w:cs="仿宋"/>
          <w:sz w:val="32"/>
          <w:szCs w:val="32"/>
        </w:rPr>
        <w:t>，变动原因：新建医院工程投入。</w:t>
      </w:r>
    </w:p>
    <w:p w14:paraId="66B6F33F">
      <w:pPr>
        <w:pStyle w:val="8"/>
        <w:spacing w:before="2" w:line="333" w:lineRule="auto"/>
        <w:ind w:left="11" w:right="86" w:firstLine="623"/>
        <w:rPr>
          <w:rFonts w:eastAsia="仿宋_GB2312" w:cs="仿宋"/>
          <w:sz w:val="32"/>
          <w:szCs w:val="32"/>
        </w:rPr>
      </w:pPr>
      <w:r>
        <w:rPr>
          <w:rFonts w:hint="eastAsia" w:eastAsia="仿宋_GB2312" w:cs="仿宋"/>
          <w:sz w:val="32"/>
          <w:szCs w:val="32"/>
          <w:u w:val="single"/>
        </w:rPr>
        <w:t>2</w:t>
      </w:r>
      <w:r>
        <w:rPr>
          <w:rFonts w:hint="eastAsia" w:eastAsia="仿宋_GB2312" w:cs="仿宋"/>
          <w:sz w:val="32"/>
          <w:szCs w:val="32"/>
        </w:rPr>
        <w:t>.使用非财政拨款结余</w:t>
      </w:r>
      <w:r>
        <w:rPr>
          <w:rFonts w:hint="eastAsia" w:eastAsia="仿宋_GB2312" w:cs="仿宋"/>
          <w:sz w:val="32"/>
          <w:szCs w:val="32"/>
          <w:u w:val="single"/>
        </w:rPr>
        <w:t>0</w:t>
      </w:r>
      <w:r>
        <w:rPr>
          <w:rFonts w:hint="eastAsia" w:eastAsia="仿宋_GB2312" w:cs="仿宋"/>
          <w:sz w:val="32"/>
          <w:szCs w:val="32"/>
        </w:rPr>
        <w:t>万元。与上年决算相比，增加</w:t>
      </w:r>
      <w:r>
        <w:rPr>
          <w:rFonts w:hint="eastAsia" w:eastAsia="仿宋_GB2312" w:cs="仿宋"/>
          <w:sz w:val="32"/>
          <w:szCs w:val="32"/>
          <w:u w:val="single"/>
        </w:rPr>
        <w:t>0</w:t>
      </w:r>
      <w:r>
        <w:rPr>
          <w:rFonts w:hint="eastAsia" w:eastAsia="仿宋_GB2312" w:cs="仿宋"/>
          <w:sz w:val="32"/>
          <w:szCs w:val="32"/>
        </w:rPr>
        <w:t>万元，增长</w:t>
      </w:r>
      <w:r>
        <w:rPr>
          <w:rFonts w:hint="eastAsia" w:eastAsia="仿宋_GB2312" w:cs="仿宋"/>
          <w:sz w:val="32"/>
          <w:szCs w:val="32"/>
          <w:u w:val="single"/>
        </w:rPr>
        <w:t>0</w:t>
      </w:r>
      <w:r>
        <w:rPr>
          <w:rFonts w:hint="eastAsia" w:ascii="仿宋_GB2312" w:hAnsi="仿宋_GB2312" w:eastAsia="仿宋_GB2312" w:cs="仿宋"/>
          <w:sz w:val="32"/>
          <w:szCs w:val="32"/>
          <w:u w:val="single"/>
        </w:rPr>
        <w:t>%</w:t>
      </w:r>
      <w:r>
        <w:rPr>
          <w:rFonts w:hint="eastAsia" w:eastAsia="仿宋_GB2312" w:cs="仿宋"/>
          <w:sz w:val="32"/>
          <w:szCs w:val="32"/>
        </w:rPr>
        <w:t>，变动原因：与上年决算相比，无变动。</w:t>
      </w:r>
    </w:p>
    <w:p w14:paraId="226B54BB">
      <w:pPr>
        <w:pStyle w:val="8"/>
        <w:spacing w:after="0" w:line="560" w:lineRule="exact"/>
        <w:ind w:firstLine="640" w:firstLineChars="200"/>
        <w:rPr>
          <w:rFonts w:eastAsia="仿宋_GB2312" w:cs="仿宋"/>
          <w:sz w:val="32"/>
          <w:szCs w:val="32"/>
        </w:rPr>
      </w:pPr>
      <w:r>
        <w:rPr>
          <w:rFonts w:eastAsia="仿宋_GB2312"/>
          <w:sz w:val="32"/>
          <w:u w:val="single"/>
        </w:rPr>
        <w:t>3</w:t>
      </w:r>
      <w:r>
        <w:rPr>
          <w:rFonts w:eastAsia="仿宋_GB2312"/>
          <w:sz w:val="32"/>
        </w:rPr>
        <w:t>.年初结转和结余</w:t>
      </w:r>
      <w:r>
        <w:rPr>
          <w:rFonts w:eastAsia="仿宋_GB2312"/>
          <w:sz w:val="32"/>
          <w:u w:val="single"/>
        </w:rPr>
        <w:t>318.28</w:t>
      </w:r>
      <w:r>
        <w:rPr>
          <w:rFonts w:eastAsia="仿宋_GB2312"/>
          <w:sz w:val="32"/>
        </w:rPr>
        <w:t>万元。与上年决算相比，增加</w:t>
      </w:r>
      <w:r>
        <w:rPr>
          <w:rFonts w:eastAsia="仿宋_GB2312"/>
          <w:sz w:val="32"/>
          <w:u w:val="single"/>
        </w:rPr>
        <w:t>243.45</w:t>
      </w:r>
      <w:r>
        <w:rPr>
          <w:rFonts w:eastAsia="仿宋_GB2312"/>
          <w:sz w:val="32"/>
        </w:rPr>
        <w:t>万元，增长</w:t>
      </w:r>
      <w:r>
        <w:rPr>
          <w:rFonts w:eastAsia="仿宋_GB2312"/>
          <w:sz w:val="32"/>
          <w:u w:val="single"/>
        </w:rPr>
        <w:t>325.34</w:t>
      </w:r>
      <w:r>
        <w:rPr>
          <w:rFonts w:hint="eastAsia" w:eastAsia="仿宋_GB2312"/>
          <w:sz w:val="32"/>
          <w:u w:val="single"/>
        </w:rPr>
        <w:t>%</w:t>
      </w:r>
      <w:r>
        <w:rPr>
          <w:rFonts w:eastAsia="仿宋_GB2312"/>
          <w:sz w:val="32"/>
        </w:rPr>
        <w:t>，变动原因：年度收支差额合理变动。</w:t>
      </w:r>
    </w:p>
    <w:p w14:paraId="15AA3ACA">
      <w:pPr>
        <w:pStyle w:val="8"/>
        <w:tabs>
          <w:tab w:val="left" w:pos="4275"/>
        </w:tabs>
        <w:spacing w:after="0"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（二）支出决算总计</w:t>
      </w:r>
      <w:r>
        <w:rPr>
          <w:rFonts w:hint="eastAsia" w:eastAsia="仿宋_GB2312" w:cs="仿宋"/>
          <w:sz w:val="32"/>
          <w:szCs w:val="32"/>
          <w:u w:val="single"/>
        </w:rPr>
        <w:t>6869.21</w:t>
      </w:r>
      <w:r>
        <w:rPr>
          <w:rFonts w:hint="eastAsia" w:ascii="楷体" w:hAnsi="楷体" w:eastAsia="楷体" w:cs="楷体"/>
          <w:b/>
          <w:bCs/>
          <w:sz w:val="32"/>
          <w:szCs w:val="32"/>
        </w:rPr>
        <w:t>万元。包括：</w:t>
      </w:r>
    </w:p>
    <w:p w14:paraId="46477D44">
      <w:pPr>
        <w:pStyle w:val="8"/>
        <w:spacing w:after="0" w:line="560" w:lineRule="exact"/>
        <w:ind w:firstLine="640" w:firstLineChars="200"/>
        <w:rPr>
          <w:rFonts w:eastAsia="仿宋_GB2312" w:cs="仿宋"/>
          <w:sz w:val="32"/>
          <w:szCs w:val="32"/>
        </w:rPr>
      </w:pPr>
      <w:r>
        <w:rPr>
          <w:rFonts w:eastAsia="仿宋_GB2312"/>
          <w:sz w:val="32"/>
          <w:u w:val="single"/>
        </w:rPr>
        <w:t>1</w:t>
      </w:r>
      <w:r>
        <w:rPr>
          <w:rFonts w:eastAsia="仿宋_GB2312"/>
          <w:sz w:val="32"/>
        </w:rPr>
        <w:t>.本年支出决算合计</w:t>
      </w:r>
      <w:r>
        <w:rPr>
          <w:rFonts w:eastAsia="仿宋_GB2312"/>
          <w:sz w:val="32"/>
          <w:u w:val="single"/>
        </w:rPr>
        <w:t>6799.84</w:t>
      </w:r>
      <w:r>
        <w:rPr>
          <w:rFonts w:eastAsia="仿宋_GB2312"/>
          <w:sz w:val="32"/>
        </w:rPr>
        <w:t>万元。与上年决算相比，增加</w:t>
      </w:r>
      <w:r>
        <w:rPr>
          <w:rFonts w:eastAsia="仿宋_GB2312"/>
          <w:sz w:val="32"/>
          <w:u w:val="single"/>
        </w:rPr>
        <w:t>862.76</w:t>
      </w:r>
      <w:r>
        <w:rPr>
          <w:rFonts w:eastAsia="仿宋_GB2312"/>
          <w:sz w:val="32"/>
        </w:rPr>
        <w:t>万元，增长</w:t>
      </w:r>
      <w:r>
        <w:rPr>
          <w:rFonts w:eastAsia="仿宋_GB2312"/>
          <w:sz w:val="32"/>
          <w:u w:val="single"/>
        </w:rPr>
        <w:t>14.53%</w:t>
      </w:r>
      <w:r>
        <w:rPr>
          <w:rFonts w:eastAsia="仿宋_GB2312"/>
          <w:sz w:val="32"/>
        </w:rPr>
        <w:t>，变动原因：新建医院工程投入。</w:t>
      </w:r>
    </w:p>
    <w:p w14:paraId="3505DBF6">
      <w:pPr>
        <w:pStyle w:val="8"/>
        <w:widowControl/>
        <w:kinsoku w:val="0"/>
        <w:autoSpaceDE w:val="0"/>
        <w:autoSpaceDN w:val="0"/>
        <w:adjustRightInd w:val="0"/>
        <w:snapToGrid w:val="0"/>
        <w:spacing w:before="1" w:after="0" w:line="333" w:lineRule="auto"/>
        <w:ind w:left="7" w:right="84" w:firstLine="627"/>
        <w:jc w:val="left"/>
        <w:textAlignment w:val="baseline"/>
        <w:rPr>
          <w:rFonts w:hint="eastAsia" w:ascii="仿宋" w:hAnsi="仿宋" w:eastAsia="仿宋" w:cs="仿宋"/>
          <w:snapToGrid w:val="0"/>
          <w:color w:val="000000"/>
          <w:kern w:val="0"/>
          <w:sz w:val="31"/>
          <w:szCs w:val="31"/>
        </w:rPr>
      </w:pPr>
      <w:r>
        <w:rPr>
          <w:rFonts w:hint="eastAsia" w:eastAsia="仿宋_GB2312" w:cs="仿宋"/>
          <w:sz w:val="32"/>
          <w:szCs w:val="32"/>
          <w:u w:val="single"/>
        </w:rPr>
        <w:t>2</w:t>
      </w:r>
      <w:r>
        <w:rPr>
          <w:rFonts w:hint="eastAsia" w:eastAsia="仿宋_GB2312" w:cs="仿宋"/>
          <w:sz w:val="32"/>
          <w:szCs w:val="32"/>
        </w:rPr>
        <w:t>．</w:t>
      </w:r>
      <w:r>
        <w:rPr>
          <w:rFonts w:ascii="仿宋" w:hAnsi="仿宋" w:eastAsia="仿宋" w:cs="仿宋"/>
          <w:snapToGrid w:val="0"/>
          <w:color w:val="000000"/>
          <w:spacing w:val="6"/>
          <w:kern w:val="0"/>
          <w:sz w:val="31"/>
          <w:szCs w:val="31"/>
          <w:lang w:eastAsia="en-US"/>
        </w:rPr>
        <w:t>结余分配</w:t>
      </w:r>
      <w:r>
        <w:rPr>
          <w:rFonts w:eastAsia="Times New Roman"/>
          <w:snapToGrid w:val="0"/>
          <w:color w:val="000000"/>
          <w:spacing w:val="6"/>
          <w:kern w:val="0"/>
          <w:sz w:val="31"/>
          <w:szCs w:val="31"/>
          <w:u w:val="single"/>
          <w:lang w:eastAsia="en-US"/>
        </w:rPr>
        <w:t>0</w:t>
      </w:r>
      <w:r>
        <w:rPr>
          <w:rFonts w:ascii="仿宋" w:hAnsi="仿宋" w:eastAsia="仿宋" w:cs="仿宋"/>
          <w:snapToGrid w:val="0"/>
          <w:color w:val="000000"/>
          <w:spacing w:val="6"/>
          <w:kern w:val="0"/>
          <w:sz w:val="31"/>
          <w:szCs w:val="31"/>
          <w:lang w:eastAsia="en-US"/>
        </w:rPr>
        <w:t>万元。无结余分配事项。与上年决算相比，增</w:t>
      </w:r>
      <w:r>
        <w:rPr>
          <w:rFonts w:ascii="仿宋" w:hAnsi="仿宋" w:eastAsia="仿宋" w:cs="仿宋"/>
          <w:snapToGrid w:val="0"/>
          <w:color w:val="000000"/>
          <w:spacing w:val="5"/>
          <w:kern w:val="0"/>
          <w:sz w:val="31"/>
          <w:szCs w:val="31"/>
          <w:lang w:eastAsia="en-US"/>
        </w:rPr>
        <w:t>加</w:t>
      </w:r>
      <w:r>
        <w:rPr>
          <w:rFonts w:eastAsia="Times New Roman"/>
          <w:snapToGrid w:val="0"/>
          <w:color w:val="000000"/>
          <w:spacing w:val="5"/>
          <w:kern w:val="0"/>
          <w:sz w:val="31"/>
          <w:szCs w:val="31"/>
          <w:u w:val="single"/>
          <w:lang w:eastAsia="en-US"/>
        </w:rPr>
        <w:t>0</w:t>
      </w:r>
      <w:r>
        <w:rPr>
          <w:rFonts w:ascii="仿宋" w:hAnsi="仿宋" w:eastAsia="仿宋" w:cs="仿宋"/>
          <w:snapToGrid w:val="0"/>
          <w:color w:val="000000"/>
          <w:spacing w:val="5"/>
          <w:kern w:val="0"/>
          <w:sz w:val="31"/>
          <w:szCs w:val="31"/>
          <w:lang w:eastAsia="en-US"/>
        </w:rPr>
        <w:t>万元，增长</w:t>
      </w:r>
      <w:r>
        <w:rPr>
          <w:rFonts w:eastAsia="Times New Roman"/>
          <w:snapToGrid w:val="0"/>
          <w:color w:val="000000"/>
          <w:spacing w:val="5"/>
          <w:kern w:val="0"/>
          <w:sz w:val="31"/>
          <w:szCs w:val="31"/>
          <w:u w:val="single"/>
          <w:lang w:eastAsia="en-US"/>
        </w:rPr>
        <w:t>0</w:t>
      </w:r>
      <w:r>
        <w:rPr>
          <w:rFonts w:ascii="仿宋" w:hAnsi="仿宋" w:eastAsia="仿宋" w:cs="仿宋"/>
          <w:snapToGrid w:val="0"/>
          <w:color w:val="000000"/>
          <w:spacing w:val="5"/>
          <w:kern w:val="0"/>
          <w:sz w:val="31"/>
          <w:szCs w:val="31"/>
          <w:u w:val="single"/>
          <w:lang w:eastAsia="en-US"/>
        </w:rPr>
        <w:t>%</w:t>
      </w:r>
      <w:r>
        <w:rPr>
          <w:rFonts w:ascii="仿宋" w:hAnsi="仿宋" w:eastAsia="仿宋" w:cs="仿宋"/>
          <w:snapToGrid w:val="0"/>
          <w:color w:val="000000"/>
          <w:spacing w:val="5"/>
          <w:kern w:val="0"/>
          <w:sz w:val="31"/>
          <w:szCs w:val="31"/>
          <w:lang w:eastAsia="en-US"/>
        </w:rPr>
        <w:t>。</w:t>
      </w:r>
    </w:p>
    <w:p w14:paraId="6DA299FF">
      <w:pPr>
        <w:pStyle w:val="8"/>
        <w:spacing w:after="0" w:line="560" w:lineRule="exact"/>
        <w:ind w:firstLine="640" w:firstLineChars="200"/>
        <w:rPr>
          <w:rFonts w:eastAsia="仿宋_GB2312" w:cs="仿宋"/>
          <w:sz w:val="32"/>
          <w:szCs w:val="32"/>
        </w:rPr>
      </w:pPr>
      <w:r>
        <w:rPr>
          <w:rFonts w:hint="eastAsia" w:eastAsia="仿宋_GB2312" w:cs="仿宋"/>
          <w:sz w:val="32"/>
          <w:szCs w:val="32"/>
          <w:u w:val="single"/>
        </w:rPr>
        <w:t>3</w:t>
      </w:r>
      <w:r>
        <w:rPr>
          <w:rFonts w:hint="eastAsia" w:eastAsia="仿宋_GB2312" w:cs="仿宋"/>
          <w:sz w:val="32"/>
          <w:szCs w:val="32"/>
        </w:rPr>
        <w:t>.年末结转和结余</w:t>
      </w:r>
      <w:r>
        <w:rPr>
          <w:rFonts w:hint="eastAsia" w:eastAsia="仿宋_GB2312" w:cs="仿宋"/>
          <w:sz w:val="32"/>
          <w:szCs w:val="32"/>
          <w:u w:val="single"/>
        </w:rPr>
        <w:t>69.37</w:t>
      </w:r>
      <w:r>
        <w:rPr>
          <w:rFonts w:hint="eastAsia" w:eastAsia="仿宋_GB2312" w:cs="仿宋"/>
          <w:sz w:val="32"/>
          <w:szCs w:val="32"/>
        </w:rPr>
        <w:t>万元。结转和结余事项：基本支出结转。与上年决算相比，减少</w:t>
      </w:r>
      <w:r>
        <w:rPr>
          <w:rFonts w:hint="eastAsia" w:eastAsia="仿宋_GB2312" w:cs="仿宋"/>
          <w:sz w:val="32"/>
          <w:szCs w:val="32"/>
          <w:u w:val="single"/>
        </w:rPr>
        <w:t>248.91</w:t>
      </w:r>
      <w:r>
        <w:rPr>
          <w:rFonts w:hint="eastAsia" w:eastAsia="仿宋_GB2312" w:cs="仿宋"/>
          <w:sz w:val="32"/>
          <w:szCs w:val="32"/>
        </w:rPr>
        <w:t>万元，减少</w:t>
      </w:r>
      <w:r>
        <w:rPr>
          <w:rFonts w:hint="eastAsia" w:eastAsia="仿宋_GB2312" w:cs="仿宋"/>
          <w:sz w:val="32"/>
          <w:szCs w:val="32"/>
          <w:u w:val="single"/>
        </w:rPr>
        <w:t>78.20</w:t>
      </w:r>
      <w:r>
        <w:rPr>
          <w:rFonts w:hint="eastAsia" w:ascii="仿宋_GB2312" w:hAnsi="仿宋_GB2312" w:eastAsia="仿宋_GB2312" w:cs="仿宋"/>
          <w:sz w:val="32"/>
          <w:szCs w:val="32"/>
          <w:u w:val="single"/>
        </w:rPr>
        <w:t>%</w:t>
      </w:r>
      <w:r>
        <w:rPr>
          <w:rFonts w:hint="eastAsia" w:eastAsia="仿宋_GB2312" w:cs="仿宋"/>
          <w:sz w:val="32"/>
          <w:szCs w:val="32"/>
        </w:rPr>
        <w:t>，变动原因：年度收支差额结转。</w:t>
      </w:r>
    </w:p>
    <w:p w14:paraId="5EF467A0">
      <w:pPr>
        <w:spacing w:line="600" w:lineRule="exact"/>
        <w:ind w:firstLine="643" w:firstLineChars="200"/>
        <w:outlineLvl w:val="2"/>
        <w:rPr>
          <w:rFonts w:eastAsia="黑体" w:cs="黑体"/>
          <w:b/>
          <w:bCs/>
          <w:sz w:val="32"/>
          <w:szCs w:val="36"/>
        </w:rPr>
      </w:pPr>
      <w:r>
        <w:rPr>
          <w:rFonts w:hint="eastAsia" w:eastAsia="黑体" w:cs="黑体"/>
          <w:b/>
          <w:bCs/>
          <w:sz w:val="32"/>
          <w:szCs w:val="36"/>
        </w:rPr>
        <w:t>二、收入决算情况说明</w:t>
      </w:r>
    </w:p>
    <w:p w14:paraId="28813772">
      <w:pPr>
        <w:pStyle w:val="8"/>
        <w:spacing w:after="0" w:line="560" w:lineRule="exact"/>
        <w:ind w:firstLine="640" w:firstLineChars="200"/>
        <w:rPr>
          <w:rFonts w:eastAsia="仿宋_GB2312" w:cs="仿宋"/>
          <w:sz w:val="32"/>
          <w:szCs w:val="32"/>
        </w:rPr>
      </w:pPr>
      <w:r>
        <w:rPr>
          <w:rFonts w:hint="eastAsia" w:eastAsia="仿宋_GB2312" w:cs="仿宋"/>
          <w:sz w:val="32"/>
          <w:szCs w:val="32"/>
          <w:u w:val="single"/>
        </w:rPr>
        <w:t>巴彦淖尔市蒙医医院</w:t>
      </w:r>
      <w:r>
        <w:rPr>
          <w:rFonts w:hint="eastAsia" w:eastAsia="仿宋_GB2312" w:cs="仿宋"/>
          <w:sz w:val="32"/>
          <w:szCs w:val="32"/>
        </w:rPr>
        <w:t>2025年度本年收入决算合计</w:t>
      </w:r>
      <w:r>
        <w:rPr>
          <w:rFonts w:hint="eastAsia" w:eastAsia="仿宋_GB2312" w:cs="仿宋"/>
          <w:sz w:val="32"/>
          <w:szCs w:val="32"/>
          <w:u w:val="single"/>
        </w:rPr>
        <w:t>6550.93</w:t>
      </w:r>
      <w:r>
        <w:rPr>
          <w:rFonts w:hint="eastAsia" w:eastAsia="仿宋_GB2312" w:cs="仿宋"/>
          <w:sz w:val="32"/>
          <w:szCs w:val="32"/>
        </w:rPr>
        <w:t>万元，其中：</w:t>
      </w:r>
    </w:p>
    <w:p w14:paraId="26508A17">
      <w:pPr>
        <w:pStyle w:val="8"/>
        <w:spacing w:after="0" w:line="560" w:lineRule="exact"/>
        <w:ind w:firstLine="640" w:firstLineChars="200"/>
        <w:rPr>
          <w:rFonts w:eastAsia="仿宋_GB2312" w:cs="仿宋"/>
          <w:sz w:val="32"/>
          <w:szCs w:val="32"/>
        </w:rPr>
      </w:pPr>
      <w:r>
        <w:rPr>
          <w:rFonts w:eastAsia="仿宋_GB2312"/>
          <w:sz w:val="32"/>
        </w:rPr>
        <w:t>本年一般公共预算财政拨款收入</w:t>
      </w:r>
      <w:r>
        <w:rPr>
          <w:rFonts w:eastAsia="仿宋_GB2312"/>
          <w:sz w:val="32"/>
          <w:u w:val="single"/>
        </w:rPr>
        <w:t>4397.83</w:t>
      </w:r>
      <w:r>
        <w:rPr>
          <w:rFonts w:eastAsia="仿宋_GB2312"/>
          <w:sz w:val="32"/>
        </w:rPr>
        <w:t>万元，占</w:t>
      </w:r>
      <w:r>
        <w:rPr>
          <w:rFonts w:eastAsia="仿宋_GB2312"/>
          <w:sz w:val="32"/>
          <w:u w:val="single"/>
        </w:rPr>
        <w:t>67.13%</w:t>
      </w:r>
      <w:r>
        <w:rPr>
          <w:rFonts w:eastAsia="仿宋_GB2312"/>
          <w:sz w:val="32"/>
        </w:rPr>
        <w:t>；</w:t>
      </w:r>
    </w:p>
    <w:p w14:paraId="727BCCD5">
      <w:pPr>
        <w:pStyle w:val="8"/>
        <w:spacing w:after="0" w:line="560" w:lineRule="exact"/>
        <w:ind w:firstLine="640" w:firstLineChars="200"/>
        <w:rPr>
          <w:rFonts w:eastAsia="仿宋_GB2312" w:cs="仿宋"/>
          <w:sz w:val="32"/>
          <w:szCs w:val="32"/>
        </w:rPr>
      </w:pPr>
      <w:r>
        <w:rPr>
          <w:rFonts w:hint="eastAsia" w:eastAsia="仿宋_GB2312" w:cs="仿宋"/>
          <w:sz w:val="32"/>
          <w:szCs w:val="32"/>
        </w:rPr>
        <w:t>本年政府性基金预算财政拨款收入</w:t>
      </w:r>
      <w:r>
        <w:rPr>
          <w:rFonts w:hint="eastAsia" w:eastAsia="仿宋_GB2312" w:cs="仿宋"/>
          <w:sz w:val="32"/>
          <w:szCs w:val="32"/>
          <w:u w:val="single"/>
        </w:rPr>
        <w:t>0</w:t>
      </w:r>
      <w:r>
        <w:rPr>
          <w:rFonts w:hint="eastAsia" w:eastAsia="仿宋_GB2312" w:cs="仿宋"/>
          <w:sz w:val="32"/>
          <w:szCs w:val="32"/>
        </w:rPr>
        <w:t>万元，占</w:t>
      </w:r>
      <w:r>
        <w:rPr>
          <w:rFonts w:hint="eastAsia" w:eastAsia="仿宋_GB2312" w:cs="仿宋"/>
          <w:sz w:val="32"/>
          <w:szCs w:val="32"/>
          <w:u w:val="single"/>
        </w:rPr>
        <w:t>0</w:t>
      </w:r>
      <w:r>
        <w:rPr>
          <w:rFonts w:hint="eastAsia" w:ascii="仿宋_GB2312" w:hAnsi="仿宋_GB2312" w:eastAsia="仿宋_GB2312" w:cs="仿宋"/>
          <w:sz w:val="32"/>
          <w:szCs w:val="32"/>
          <w:u w:val="single"/>
        </w:rPr>
        <w:t>%</w:t>
      </w:r>
      <w:r>
        <w:rPr>
          <w:rFonts w:hint="eastAsia" w:eastAsia="仿宋_GB2312" w:cs="仿宋"/>
          <w:sz w:val="32"/>
          <w:szCs w:val="32"/>
        </w:rPr>
        <w:t>；</w:t>
      </w:r>
    </w:p>
    <w:p w14:paraId="1FAEADF4">
      <w:pPr>
        <w:pStyle w:val="8"/>
        <w:spacing w:after="0" w:line="560" w:lineRule="exact"/>
        <w:ind w:firstLine="640" w:firstLineChars="200"/>
        <w:rPr>
          <w:rFonts w:eastAsia="仿宋_GB2312" w:cs="仿宋"/>
          <w:sz w:val="32"/>
          <w:szCs w:val="32"/>
        </w:rPr>
      </w:pPr>
      <w:r>
        <w:rPr>
          <w:rFonts w:hint="eastAsia" w:eastAsia="仿宋_GB2312" w:cs="仿宋"/>
          <w:sz w:val="32"/>
          <w:szCs w:val="32"/>
        </w:rPr>
        <w:t>本年国有资本经营预算财政拨款收入</w:t>
      </w:r>
      <w:r>
        <w:rPr>
          <w:rFonts w:hint="eastAsia" w:eastAsia="仿宋_GB2312" w:cs="仿宋"/>
          <w:sz w:val="32"/>
          <w:szCs w:val="32"/>
          <w:u w:val="single"/>
        </w:rPr>
        <w:t>0</w:t>
      </w:r>
      <w:r>
        <w:rPr>
          <w:rFonts w:hint="eastAsia" w:eastAsia="仿宋_GB2312" w:cs="仿宋"/>
          <w:sz w:val="32"/>
          <w:szCs w:val="32"/>
        </w:rPr>
        <w:t>万元，占</w:t>
      </w:r>
      <w:r>
        <w:rPr>
          <w:rFonts w:hint="eastAsia" w:eastAsia="仿宋_GB2312" w:cs="仿宋"/>
          <w:sz w:val="32"/>
          <w:szCs w:val="32"/>
          <w:u w:val="single"/>
        </w:rPr>
        <w:t>0</w:t>
      </w:r>
      <w:r>
        <w:rPr>
          <w:rFonts w:hint="eastAsia" w:ascii="仿宋_GB2312" w:hAnsi="仿宋_GB2312" w:eastAsia="仿宋_GB2312" w:cs="仿宋"/>
          <w:sz w:val="32"/>
          <w:szCs w:val="32"/>
          <w:u w:val="single"/>
        </w:rPr>
        <w:t>%</w:t>
      </w:r>
      <w:r>
        <w:rPr>
          <w:rFonts w:hint="eastAsia" w:eastAsia="仿宋_GB2312" w:cs="仿宋"/>
          <w:sz w:val="32"/>
          <w:szCs w:val="32"/>
        </w:rPr>
        <w:t>；</w:t>
      </w:r>
    </w:p>
    <w:p w14:paraId="341665AC">
      <w:pPr>
        <w:pStyle w:val="8"/>
        <w:spacing w:after="0" w:line="560" w:lineRule="exact"/>
        <w:ind w:firstLine="640" w:firstLineChars="200"/>
        <w:rPr>
          <w:rFonts w:eastAsia="仿宋_GB2312" w:cs="仿宋"/>
          <w:sz w:val="32"/>
          <w:szCs w:val="32"/>
        </w:rPr>
      </w:pPr>
      <w:r>
        <w:rPr>
          <w:rFonts w:hint="eastAsia" w:eastAsia="仿宋_GB2312" w:cs="仿宋"/>
          <w:sz w:val="32"/>
          <w:szCs w:val="32"/>
        </w:rPr>
        <w:t>本年上级补助收入</w:t>
      </w:r>
      <w:r>
        <w:rPr>
          <w:rFonts w:hint="eastAsia" w:eastAsia="仿宋_GB2312" w:cs="仿宋"/>
          <w:sz w:val="32"/>
          <w:szCs w:val="32"/>
          <w:u w:val="single"/>
        </w:rPr>
        <w:t>0</w:t>
      </w:r>
      <w:r>
        <w:rPr>
          <w:rFonts w:hint="eastAsia" w:eastAsia="仿宋_GB2312" w:cs="仿宋"/>
          <w:sz w:val="32"/>
          <w:szCs w:val="32"/>
        </w:rPr>
        <w:t>万元，占</w:t>
      </w:r>
      <w:r>
        <w:rPr>
          <w:rFonts w:hint="eastAsia" w:eastAsia="仿宋_GB2312" w:cs="仿宋"/>
          <w:sz w:val="32"/>
          <w:szCs w:val="32"/>
          <w:u w:val="single"/>
        </w:rPr>
        <w:t>0</w:t>
      </w:r>
      <w:r>
        <w:rPr>
          <w:rFonts w:hint="eastAsia" w:ascii="仿宋_GB2312" w:hAnsi="仿宋_GB2312" w:eastAsia="仿宋_GB2312" w:cs="仿宋"/>
          <w:sz w:val="32"/>
          <w:szCs w:val="32"/>
          <w:u w:val="single"/>
        </w:rPr>
        <w:t>%</w:t>
      </w:r>
      <w:r>
        <w:rPr>
          <w:rFonts w:hint="eastAsia" w:eastAsia="仿宋_GB2312" w:cs="仿宋"/>
          <w:sz w:val="32"/>
          <w:szCs w:val="32"/>
        </w:rPr>
        <w:t>；</w:t>
      </w:r>
    </w:p>
    <w:p w14:paraId="410C2A4C">
      <w:pPr>
        <w:pStyle w:val="8"/>
        <w:spacing w:after="0" w:line="560" w:lineRule="exact"/>
        <w:ind w:firstLine="640" w:firstLineChars="200"/>
        <w:rPr>
          <w:rFonts w:eastAsia="仿宋_GB2312" w:cs="仿宋"/>
          <w:sz w:val="32"/>
          <w:szCs w:val="32"/>
        </w:rPr>
      </w:pPr>
      <w:r>
        <w:rPr>
          <w:rFonts w:eastAsia="仿宋_GB2312"/>
          <w:sz w:val="32"/>
        </w:rPr>
        <w:t>本年事业收入</w:t>
      </w:r>
      <w:r>
        <w:rPr>
          <w:rFonts w:eastAsia="仿宋_GB2312"/>
          <w:sz w:val="32"/>
          <w:u w:val="single"/>
        </w:rPr>
        <w:t>2148.92</w:t>
      </w:r>
      <w:r>
        <w:rPr>
          <w:rFonts w:eastAsia="仿宋_GB2312"/>
          <w:sz w:val="32"/>
        </w:rPr>
        <w:t>万元，占</w:t>
      </w:r>
      <w:r>
        <w:rPr>
          <w:rFonts w:eastAsia="仿宋_GB2312"/>
          <w:sz w:val="32"/>
          <w:u w:val="single"/>
        </w:rPr>
        <w:t>32.80%</w:t>
      </w:r>
      <w:r>
        <w:rPr>
          <w:rFonts w:eastAsia="仿宋_GB2312"/>
          <w:sz w:val="32"/>
        </w:rPr>
        <w:t>；</w:t>
      </w:r>
    </w:p>
    <w:p w14:paraId="6196B34A">
      <w:pPr>
        <w:pStyle w:val="8"/>
        <w:spacing w:after="0" w:line="560" w:lineRule="exact"/>
        <w:ind w:firstLine="640" w:firstLineChars="200"/>
        <w:rPr>
          <w:rFonts w:eastAsia="仿宋_GB2312" w:cs="仿宋"/>
          <w:sz w:val="32"/>
          <w:szCs w:val="32"/>
        </w:rPr>
      </w:pPr>
      <w:r>
        <w:rPr>
          <w:rFonts w:hint="eastAsia" w:eastAsia="仿宋_GB2312" w:cs="仿宋"/>
          <w:sz w:val="32"/>
          <w:szCs w:val="32"/>
        </w:rPr>
        <w:t>本年经营收入</w:t>
      </w:r>
      <w:r>
        <w:rPr>
          <w:rFonts w:hint="eastAsia" w:eastAsia="仿宋_GB2312" w:cs="仿宋"/>
          <w:sz w:val="32"/>
          <w:szCs w:val="32"/>
          <w:u w:val="single"/>
        </w:rPr>
        <w:t>0</w:t>
      </w:r>
      <w:r>
        <w:rPr>
          <w:rFonts w:hint="eastAsia" w:eastAsia="仿宋_GB2312" w:cs="仿宋"/>
          <w:sz w:val="32"/>
          <w:szCs w:val="32"/>
        </w:rPr>
        <w:t>万元，占</w:t>
      </w:r>
      <w:r>
        <w:rPr>
          <w:rFonts w:hint="eastAsia" w:eastAsia="仿宋_GB2312" w:cs="仿宋"/>
          <w:sz w:val="32"/>
          <w:szCs w:val="32"/>
          <w:u w:val="single"/>
        </w:rPr>
        <w:t>0</w:t>
      </w:r>
      <w:r>
        <w:rPr>
          <w:rFonts w:hint="eastAsia" w:ascii="仿宋_GB2312" w:hAnsi="仿宋_GB2312" w:eastAsia="仿宋_GB2312" w:cs="仿宋"/>
          <w:sz w:val="32"/>
          <w:szCs w:val="32"/>
          <w:u w:val="single"/>
        </w:rPr>
        <w:t>%</w:t>
      </w:r>
      <w:r>
        <w:rPr>
          <w:rFonts w:hint="eastAsia" w:eastAsia="仿宋_GB2312" w:cs="仿宋"/>
          <w:sz w:val="32"/>
          <w:szCs w:val="32"/>
        </w:rPr>
        <w:t>；</w:t>
      </w:r>
    </w:p>
    <w:p w14:paraId="3F820F93">
      <w:pPr>
        <w:pStyle w:val="8"/>
        <w:spacing w:after="0" w:line="560" w:lineRule="exact"/>
        <w:ind w:firstLine="640" w:firstLineChars="200"/>
        <w:rPr>
          <w:rFonts w:eastAsia="仿宋_GB2312" w:cs="仿宋"/>
          <w:sz w:val="32"/>
          <w:szCs w:val="32"/>
        </w:rPr>
      </w:pPr>
      <w:r>
        <w:rPr>
          <w:rFonts w:hint="eastAsia" w:eastAsia="仿宋_GB2312" w:cs="仿宋"/>
          <w:sz w:val="32"/>
          <w:szCs w:val="32"/>
        </w:rPr>
        <w:t>本年附属单位上缴收入</w:t>
      </w:r>
      <w:r>
        <w:rPr>
          <w:rFonts w:hint="eastAsia" w:eastAsia="仿宋_GB2312" w:cs="仿宋"/>
          <w:sz w:val="32"/>
          <w:szCs w:val="32"/>
          <w:u w:val="single"/>
        </w:rPr>
        <w:t>0</w:t>
      </w:r>
      <w:r>
        <w:rPr>
          <w:rFonts w:hint="eastAsia" w:eastAsia="仿宋_GB2312" w:cs="仿宋"/>
          <w:sz w:val="32"/>
          <w:szCs w:val="32"/>
        </w:rPr>
        <w:t>万元，占</w:t>
      </w:r>
      <w:r>
        <w:rPr>
          <w:rFonts w:hint="eastAsia" w:eastAsia="仿宋_GB2312" w:cs="仿宋"/>
          <w:sz w:val="32"/>
          <w:szCs w:val="32"/>
          <w:u w:val="single"/>
        </w:rPr>
        <w:t>0</w:t>
      </w:r>
      <w:r>
        <w:rPr>
          <w:rFonts w:hint="eastAsia" w:ascii="仿宋_GB2312" w:hAnsi="仿宋_GB2312" w:eastAsia="仿宋_GB2312" w:cs="仿宋"/>
          <w:sz w:val="32"/>
          <w:szCs w:val="32"/>
          <w:u w:val="single"/>
        </w:rPr>
        <w:t>%</w:t>
      </w:r>
      <w:r>
        <w:rPr>
          <w:rFonts w:hint="eastAsia" w:eastAsia="仿宋_GB2312" w:cs="仿宋"/>
          <w:sz w:val="32"/>
          <w:szCs w:val="32"/>
        </w:rPr>
        <w:t>；</w:t>
      </w:r>
    </w:p>
    <w:p w14:paraId="798C8463">
      <w:pPr>
        <w:pStyle w:val="8"/>
        <w:spacing w:after="0" w:line="560" w:lineRule="exact"/>
        <w:ind w:firstLine="640" w:firstLineChars="200"/>
        <w:rPr>
          <w:rFonts w:eastAsia="仿宋_GB2312" w:cs="仿宋"/>
          <w:sz w:val="32"/>
          <w:szCs w:val="32"/>
        </w:rPr>
      </w:pPr>
      <w:r>
        <w:rPr>
          <w:rFonts w:eastAsia="仿宋_GB2312"/>
          <w:sz w:val="32"/>
        </w:rPr>
        <w:t>本年其他收入</w:t>
      </w:r>
      <w:r>
        <w:rPr>
          <w:rFonts w:eastAsia="仿宋_GB2312"/>
          <w:sz w:val="32"/>
          <w:u w:val="single"/>
        </w:rPr>
        <w:t>4.18</w:t>
      </w:r>
      <w:r>
        <w:rPr>
          <w:rFonts w:eastAsia="仿宋_GB2312"/>
          <w:sz w:val="32"/>
        </w:rPr>
        <w:t>万元，占</w:t>
      </w:r>
      <w:r>
        <w:rPr>
          <w:rFonts w:eastAsia="仿宋_GB2312"/>
          <w:sz w:val="32"/>
          <w:u w:val="single"/>
        </w:rPr>
        <w:t>0.06%</w:t>
      </w:r>
      <w:r>
        <w:rPr>
          <w:rFonts w:eastAsia="仿宋_GB2312"/>
          <w:sz w:val="32"/>
        </w:rPr>
        <w:t>。</w:t>
      </w:r>
    </w:p>
    <w:p w14:paraId="36AEEBA9">
      <w:pPr>
        <w:jc w:val="center"/>
      </w:pPr>
      <w:r>
        <w:drawing>
          <wp:inline distT="0" distB="0" distL="0" distR="0">
            <wp:extent cx="3959860" cy="23094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3960000" cy="2309740"/>
                    </a:xfrm>
                    <a:prstGeom prst="rect">
                      <a:avLst/>
                    </a:prstGeom>
                  </pic:spPr>
                </pic:pic>
              </a:graphicData>
            </a:graphic>
          </wp:inline>
        </w:drawing>
      </w:r>
    </w:p>
    <w:p w14:paraId="17D314D4">
      <w:pPr>
        <w:pStyle w:val="8"/>
        <w:spacing w:after="0" w:line="560" w:lineRule="exact"/>
        <w:ind w:firstLine="640" w:firstLineChars="200"/>
        <w:jc w:val="center"/>
        <w:rPr>
          <w:rFonts w:eastAsia="仿宋_GB2312" w:cs="仿宋"/>
          <w:sz w:val="32"/>
          <w:szCs w:val="32"/>
        </w:rPr>
      </w:pPr>
      <w:r>
        <w:rPr>
          <w:rFonts w:eastAsia="仿宋_GB2312"/>
          <w:sz w:val="32"/>
        </w:rPr>
        <w:t>图</w:t>
      </w:r>
      <w:r>
        <w:rPr>
          <w:rFonts w:eastAsia="仿宋_GB2312"/>
          <w:sz w:val="32"/>
          <w:u w:val="single"/>
        </w:rPr>
        <w:t>1</w:t>
      </w:r>
      <w:r>
        <w:rPr>
          <w:rFonts w:eastAsia="仿宋_GB2312"/>
          <w:sz w:val="32"/>
        </w:rPr>
        <w:t>.收入决算图</w:t>
      </w:r>
    </w:p>
    <w:p w14:paraId="713FFA94">
      <w:pPr>
        <w:pStyle w:val="8"/>
        <w:spacing w:after="0" w:line="560" w:lineRule="exact"/>
        <w:ind w:firstLine="640" w:firstLineChars="200"/>
        <w:jc w:val="center"/>
        <w:rPr>
          <w:rFonts w:eastAsia="仿宋_GB2312" w:cs="仿宋"/>
          <w:sz w:val="32"/>
          <w:szCs w:val="32"/>
        </w:rPr>
      </w:pPr>
    </w:p>
    <w:p w14:paraId="0807E469">
      <w:pPr>
        <w:spacing w:line="600" w:lineRule="exact"/>
        <w:ind w:firstLine="643" w:firstLineChars="200"/>
        <w:outlineLvl w:val="2"/>
        <w:rPr>
          <w:rFonts w:eastAsia="黑体" w:cs="黑体"/>
          <w:b/>
          <w:bCs/>
          <w:sz w:val="32"/>
          <w:szCs w:val="36"/>
        </w:rPr>
      </w:pPr>
      <w:r>
        <w:rPr>
          <w:rFonts w:hint="eastAsia" w:eastAsia="黑体" w:cs="黑体"/>
          <w:b/>
          <w:bCs/>
          <w:sz w:val="32"/>
          <w:szCs w:val="36"/>
        </w:rPr>
        <w:t>三、支出决算情况说明</w:t>
      </w:r>
    </w:p>
    <w:p w14:paraId="49FA2B51">
      <w:pPr>
        <w:pStyle w:val="8"/>
        <w:spacing w:after="0" w:line="560" w:lineRule="exact"/>
        <w:ind w:firstLine="640" w:firstLineChars="200"/>
        <w:rPr>
          <w:rFonts w:eastAsia="仿宋_GB2312" w:cs="仿宋"/>
          <w:sz w:val="32"/>
          <w:szCs w:val="32"/>
        </w:rPr>
      </w:pPr>
      <w:r>
        <w:rPr>
          <w:rFonts w:ascii="仿宋" w:hAnsi="仿宋" w:eastAsia="仿宋"/>
          <w:sz w:val="32"/>
        </w:rPr>
        <w:t>巴彦淖尔市蒙医医院</w:t>
      </w:r>
      <w:r>
        <w:rPr>
          <w:rFonts w:eastAsia="仿宋_GB2312"/>
          <w:sz w:val="32"/>
        </w:rPr>
        <w:t>2025年度本年支出决算合计</w:t>
      </w:r>
      <w:r>
        <w:rPr>
          <w:rFonts w:eastAsia="仿宋_GB2312"/>
          <w:sz w:val="32"/>
          <w:u w:val="single"/>
        </w:rPr>
        <w:t>6799.84</w:t>
      </w:r>
      <w:r>
        <w:rPr>
          <w:rFonts w:eastAsia="仿宋_GB2312"/>
          <w:sz w:val="32"/>
        </w:rPr>
        <w:t>万元，其中：</w:t>
      </w:r>
    </w:p>
    <w:p w14:paraId="55377D04">
      <w:pPr>
        <w:pStyle w:val="8"/>
        <w:spacing w:after="0" w:line="560" w:lineRule="exact"/>
        <w:ind w:firstLine="640" w:firstLineChars="200"/>
        <w:rPr>
          <w:rFonts w:eastAsia="仿宋_GB2312" w:cs="仿宋"/>
          <w:sz w:val="32"/>
          <w:szCs w:val="32"/>
        </w:rPr>
      </w:pPr>
      <w:r>
        <w:rPr>
          <w:rFonts w:eastAsia="仿宋_GB2312"/>
          <w:sz w:val="32"/>
        </w:rPr>
        <w:t>本年基本支出</w:t>
      </w:r>
      <w:r>
        <w:rPr>
          <w:rFonts w:eastAsia="仿宋_GB2312"/>
          <w:sz w:val="32"/>
          <w:u w:val="single"/>
        </w:rPr>
        <w:t>3480.73</w:t>
      </w:r>
      <w:r>
        <w:rPr>
          <w:rFonts w:eastAsia="仿宋_GB2312"/>
          <w:sz w:val="32"/>
        </w:rPr>
        <w:t>万元，占</w:t>
      </w:r>
      <w:r>
        <w:rPr>
          <w:rFonts w:eastAsia="仿宋_GB2312"/>
          <w:sz w:val="32"/>
          <w:u w:val="single"/>
        </w:rPr>
        <w:t>51.19%</w:t>
      </w:r>
      <w:r>
        <w:rPr>
          <w:rFonts w:eastAsia="仿宋_GB2312"/>
          <w:sz w:val="32"/>
        </w:rPr>
        <w:t>；</w:t>
      </w:r>
    </w:p>
    <w:p w14:paraId="0CBBD2D3">
      <w:pPr>
        <w:pStyle w:val="8"/>
        <w:spacing w:after="0" w:line="560" w:lineRule="exact"/>
        <w:ind w:firstLine="640" w:firstLineChars="200"/>
        <w:rPr>
          <w:rFonts w:eastAsia="仿宋_GB2312" w:cs="仿宋"/>
          <w:sz w:val="32"/>
          <w:szCs w:val="32"/>
        </w:rPr>
      </w:pPr>
      <w:r>
        <w:rPr>
          <w:rFonts w:eastAsia="仿宋_GB2312"/>
          <w:sz w:val="32"/>
        </w:rPr>
        <w:t>本年项目支出</w:t>
      </w:r>
      <w:r>
        <w:rPr>
          <w:rFonts w:eastAsia="仿宋_GB2312"/>
          <w:sz w:val="32"/>
          <w:u w:val="single"/>
        </w:rPr>
        <w:t>3319.12</w:t>
      </w:r>
      <w:r>
        <w:rPr>
          <w:rFonts w:eastAsia="仿宋_GB2312"/>
          <w:sz w:val="32"/>
        </w:rPr>
        <w:t>万元，占</w:t>
      </w:r>
      <w:r>
        <w:rPr>
          <w:rFonts w:eastAsia="仿宋_GB2312"/>
          <w:sz w:val="32"/>
          <w:u w:val="single"/>
        </w:rPr>
        <w:t>48.81%</w:t>
      </w:r>
      <w:r>
        <w:rPr>
          <w:rFonts w:eastAsia="仿宋_GB2312"/>
          <w:sz w:val="32"/>
        </w:rPr>
        <w:t>；</w:t>
      </w:r>
    </w:p>
    <w:p w14:paraId="02467FA3">
      <w:pPr>
        <w:pStyle w:val="8"/>
        <w:spacing w:after="0" w:line="560" w:lineRule="exact"/>
        <w:ind w:firstLine="640" w:firstLineChars="200"/>
        <w:rPr>
          <w:rFonts w:eastAsia="仿宋_GB2312" w:cs="仿宋"/>
          <w:sz w:val="32"/>
          <w:szCs w:val="32"/>
        </w:rPr>
      </w:pPr>
      <w:r>
        <w:rPr>
          <w:rFonts w:eastAsia="仿宋_GB2312"/>
          <w:sz w:val="32"/>
        </w:rPr>
        <w:t>本年上缴上级支出</w:t>
      </w:r>
      <w:r>
        <w:rPr>
          <w:rFonts w:eastAsia="仿宋_GB2312"/>
          <w:sz w:val="32"/>
          <w:u w:val="single"/>
        </w:rPr>
        <w:t>0</w:t>
      </w:r>
      <w:r>
        <w:rPr>
          <w:rFonts w:eastAsia="仿宋_GB2312"/>
          <w:sz w:val="32"/>
        </w:rPr>
        <w:t>万元，占</w:t>
      </w:r>
      <w:r>
        <w:rPr>
          <w:rFonts w:eastAsia="仿宋_GB2312"/>
          <w:sz w:val="32"/>
          <w:u w:val="single"/>
        </w:rPr>
        <w:t>0%</w:t>
      </w:r>
      <w:r>
        <w:rPr>
          <w:rFonts w:eastAsia="仿宋_GB2312"/>
          <w:sz w:val="32"/>
        </w:rPr>
        <w:t>；</w:t>
      </w:r>
    </w:p>
    <w:p w14:paraId="2480D4C1">
      <w:pPr>
        <w:pStyle w:val="8"/>
        <w:spacing w:after="0" w:line="560" w:lineRule="exact"/>
        <w:ind w:firstLine="640" w:firstLineChars="200"/>
        <w:rPr>
          <w:rFonts w:eastAsia="仿宋_GB2312" w:cs="仿宋"/>
          <w:sz w:val="32"/>
          <w:szCs w:val="32"/>
        </w:rPr>
      </w:pPr>
      <w:r>
        <w:rPr>
          <w:rFonts w:eastAsia="仿宋_GB2312"/>
          <w:sz w:val="32"/>
        </w:rPr>
        <w:t>本年经营支出</w:t>
      </w:r>
      <w:r>
        <w:rPr>
          <w:rFonts w:eastAsia="仿宋_GB2312"/>
          <w:sz w:val="32"/>
          <w:u w:val="single"/>
        </w:rPr>
        <w:t>0</w:t>
      </w:r>
      <w:r>
        <w:rPr>
          <w:rFonts w:eastAsia="仿宋_GB2312"/>
          <w:sz w:val="32"/>
        </w:rPr>
        <w:t>万元，占</w:t>
      </w:r>
      <w:r>
        <w:rPr>
          <w:rFonts w:eastAsia="仿宋_GB2312"/>
          <w:sz w:val="32"/>
          <w:u w:val="single"/>
        </w:rPr>
        <w:t>0%</w:t>
      </w:r>
      <w:r>
        <w:rPr>
          <w:rFonts w:eastAsia="仿宋_GB2312"/>
          <w:sz w:val="32"/>
        </w:rPr>
        <w:t>；</w:t>
      </w:r>
    </w:p>
    <w:p w14:paraId="42773950">
      <w:pPr>
        <w:pStyle w:val="8"/>
        <w:spacing w:after="0" w:line="560" w:lineRule="exact"/>
        <w:ind w:firstLine="640" w:firstLineChars="200"/>
        <w:rPr>
          <w:rFonts w:eastAsia="仿宋_GB2312" w:cs="仿宋"/>
          <w:sz w:val="32"/>
          <w:szCs w:val="32"/>
        </w:rPr>
      </w:pPr>
      <w:r>
        <w:rPr>
          <w:rFonts w:eastAsia="仿宋_GB2312"/>
          <w:sz w:val="32"/>
        </w:rPr>
        <w:t>本年对附属单位补助支出</w:t>
      </w:r>
      <w:r>
        <w:rPr>
          <w:rFonts w:eastAsia="仿宋_GB2312"/>
          <w:sz w:val="32"/>
          <w:u w:val="single"/>
        </w:rPr>
        <w:t>0</w:t>
      </w:r>
      <w:r>
        <w:rPr>
          <w:rFonts w:eastAsia="仿宋_GB2312"/>
          <w:sz w:val="32"/>
        </w:rPr>
        <w:t>万元，占</w:t>
      </w:r>
      <w:r>
        <w:rPr>
          <w:rFonts w:eastAsia="仿宋_GB2312"/>
          <w:sz w:val="32"/>
          <w:u w:val="single"/>
        </w:rPr>
        <w:t>0%</w:t>
      </w:r>
      <w:r>
        <w:rPr>
          <w:rFonts w:eastAsia="仿宋_GB2312"/>
          <w:sz w:val="32"/>
        </w:rPr>
        <w:t>。</w:t>
      </w:r>
    </w:p>
    <w:p w14:paraId="1E29E28A">
      <w:pPr>
        <w:pStyle w:val="8"/>
        <w:spacing w:after="0" w:line="560" w:lineRule="exact"/>
        <w:jc w:val="center"/>
        <w:rPr>
          <w:rFonts w:eastAsia="仿宋_GB2312" w:cs="仿宋"/>
          <w:sz w:val="32"/>
          <w:szCs w:val="32"/>
        </w:rPr>
      </w:pPr>
    </w:p>
    <w:p w14:paraId="44F7D7EE">
      <w:pPr>
        <w:jc w:val="center"/>
      </w:pPr>
      <w:r>
        <w:drawing>
          <wp:inline distT="0" distB="0" distL="0" distR="0">
            <wp:extent cx="3959860" cy="2178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3960000" cy="2178736"/>
                    </a:xfrm>
                    <a:prstGeom prst="rect">
                      <a:avLst/>
                    </a:prstGeom>
                  </pic:spPr>
                </pic:pic>
              </a:graphicData>
            </a:graphic>
          </wp:inline>
        </w:drawing>
      </w:r>
    </w:p>
    <w:p w14:paraId="181B8A6B">
      <w:pPr>
        <w:pStyle w:val="8"/>
        <w:spacing w:after="0" w:line="560" w:lineRule="exact"/>
        <w:jc w:val="center"/>
        <w:rPr>
          <w:rFonts w:eastAsia="仿宋_GB2312" w:cs="仿宋"/>
          <w:sz w:val="32"/>
          <w:szCs w:val="32"/>
        </w:rPr>
      </w:pPr>
      <w:r>
        <w:rPr>
          <w:rFonts w:eastAsia="仿宋_GB2312"/>
          <w:sz w:val="32"/>
        </w:rPr>
        <w:t>图</w:t>
      </w:r>
      <w:r>
        <w:rPr>
          <w:rFonts w:eastAsia="仿宋_GB2312"/>
          <w:sz w:val="32"/>
          <w:u w:val="single"/>
        </w:rPr>
        <w:t>2</w:t>
      </w:r>
      <w:r>
        <w:rPr>
          <w:rFonts w:eastAsia="仿宋_GB2312"/>
          <w:sz w:val="32"/>
        </w:rPr>
        <w:t>.支出决算图</w:t>
      </w:r>
    </w:p>
    <w:p w14:paraId="762BC4F5">
      <w:pPr>
        <w:pStyle w:val="8"/>
        <w:spacing w:after="0" w:line="560" w:lineRule="exact"/>
        <w:jc w:val="center"/>
        <w:rPr>
          <w:rFonts w:eastAsia="仿宋_GB2312" w:cs="仿宋"/>
          <w:sz w:val="32"/>
          <w:szCs w:val="32"/>
        </w:rPr>
      </w:pPr>
    </w:p>
    <w:p w14:paraId="47E02A17">
      <w:pPr>
        <w:spacing w:line="600" w:lineRule="exact"/>
        <w:ind w:firstLine="643" w:firstLineChars="200"/>
        <w:outlineLvl w:val="2"/>
        <w:rPr>
          <w:rFonts w:eastAsia="黑体" w:cs="黑体"/>
          <w:b/>
          <w:bCs/>
          <w:sz w:val="32"/>
          <w:szCs w:val="36"/>
        </w:rPr>
      </w:pPr>
      <w:r>
        <w:rPr>
          <w:rFonts w:hint="eastAsia" w:eastAsia="黑体" w:cs="黑体"/>
          <w:b/>
          <w:bCs/>
          <w:sz w:val="32"/>
          <w:szCs w:val="36"/>
        </w:rPr>
        <w:t>四、财政拨款收入支出决算总体情况说明</w:t>
      </w:r>
    </w:p>
    <w:p w14:paraId="2229045A">
      <w:pPr>
        <w:pStyle w:val="8"/>
        <w:spacing w:after="0" w:line="560" w:lineRule="exact"/>
        <w:ind w:firstLine="640" w:firstLineChars="200"/>
        <w:rPr>
          <w:rFonts w:eastAsia="仿宋_GB2312" w:cs="仿宋"/>
          <w:sz w:val="32"/>
          <w:szCs w:val="32"/>
        </w:rPr>
      </w:pPr>
      <w:r>
        <w:rPr>
          <w:rFonts w:ascii="仿宋" w:hAnsi="仿宋" w:eastAsia="仿宋"/>
          <w:sz w:val="32"/>
        </w:rPr>
        <w:t>巴彦淖尔</w:t>
      </w:r>
      <w:r>
        <w:rPr>
          <w:rFonts w:eastAsia="仿宋_GB2312"/>
          <w:sz w:val="32"/>
        </w:rPr>
        <w:t>市蒙医医院2025年度财政拨款收入、支出决算总计</w:t>
      </w:r>
      <w:r>
        <w:rPr>
          <w:rFonts w:eastAsia="仿宋_GB2312"/>
          <w:sz w:val="32"/>
          <w:u w:val="single"/>
        </w:rPr>
        <w:t>4397.83</w:t>
      </w:r>
      <w:r>
        <w:rPr>
          <w:rFonts w:eastAsia="仿宋_GB2312"/>
          <w:sz w:val="32"/>
        </w:rPr>
        <w:t>万元。与年初预算相比，收、支总计各增加</w:t>
      </w:r>
      <w:r>
        <w:rPr>
          <w:rFonts w:hint="eastAsia" w:eastAsia="仿宋_GB2312"/>
          <w:sz w:val="32"/>
          <w:u w:val="single"/>
        </w:rPr>
        <w:t>3259.25</w:t>
      </w:r>
      <w:r>
        <w:rPr>
          <w:rFonts w:eastAsia="仿宋_GB2312"/>
          <w:sz w:val="32"/>
        </w:rPr>
        <w:t>万元，增长</w:t>
      </w:r>
      <w:r>
        <w:rPr>
          <w:rFonts w:hint="eastAsia" w:eastAsia="仿宋_GB2312"/>
          <w:sz w:val="32"/>
          <w:u w:val="single"/>
        </w:rPr>
        <w:t>286.26</w:t>
      </w:r>
      <w:r>
        <w:rPr>
          <w:rFonts w:eastAsia="仿宋_GB2312"/>
          <w:sz w:val="32"/>
          <w:u w:val="single"/>
        </w:rPr>
        <w:t>%</w:t>
      </w:r>
      <w:r>
        <w:rPr>
          <w:rFonts w:eastAsia="仿宋_GB2312"/>
          <w:sz w:val="32"/>
        </w:rPr>
        <w:t>，变动原因：</w:t>
      </w:r>
      <w:r>
        <w:rPr>
          <w:rFonts w:hint="eastAsia" w:eastAsia="仿宋_GB2312"/>
          <w:sz w:val="32"/>
        </w:rPr>
        <w:t>新建医院工程</w:t>
      </w:r>
      <w:r>
        <w:rPr>
          <w:rFonts w:hint="eastAsia" w:ascii="宋体" w:hAnsi="宋体" w:eastAsia="宋体" w:cs="宋体"/>
          <w:sz w:val="32"/>
        </w:rPr>
        <w:t>投入</w:t>
      </w:r>
      <w:r>
        <w:rPr>
          <w:rFonts w:eastAsia="仿宋_GB2312"/>
          <w:sz w:val="32"/>
        </w:rPr>
        <w:t>；与上年决算相比，收、支总计各增加</w:t>
      </w:r>
      <w:r>
        <w:rPr>
          <w:rFonts w:eastAsia="仿宋_GB2312"/>
          <w:sz w:val="32"/>
          <w:u w:val="single"/>
        </w:rPr>
        <w:t>653.74</w:t>
      </w:r>
      <w:r>
        <w:rPr>
          <w:rFonts w:eastAsia="仿宋_GB2312"/>
          <w:sz w:val="32"/>
        </w:rPr>
        <w:t>万元，增长</w:t>
      </w:r>
      <w:r>
        <w:rPr>
          <w:rFonts w:eastAsia="仿宋_GB2312"/>
          <w:sz w:val="32"/>
          <w:u w:val="single"/>
        </w:rPr>
        <w:t>17.46%</w:t>
      </w:r>
      <w:r>
        <w:rPr>
          <w:rFonts w:eastAsia="仿宋_GB2312"/>
          <w:sz w:val="32"/>
        </w:rPr>
        <w:t>，变动原因：新建医院工程投入增加。</w:t>
      </w:r>
    </w:p>
    <w:p w14:paraId="0EA97A5C">
      <w:pPr>
        <w:spacing w:line="600" w:lineRule="exact"/>
        <w:ind w:firstLine="643" w:firstLineChars="200"/>
        <w:outlineLvl w:val="2"/>
        <w:rPr>
          <w:rFonts w:eastAsia="黑体" w:cs="黑体"/>
          <w:b/>
          <w:bCs/>
          <w:sz w:val="32"/>
          <w:szCs w:val="36"/>
        </w:rPr>
      </w:pPr>
      <w:r>
        <w:rPr>
          <w:rFonts w:hint="eastAsia" w:eastAsia="黑体" w:cs="黑体"/>
          <w:b/>
          <w:bCs/>
          <w:sz w:val="32"/>
          <w:szCs w:val="36"/>
        </w:rPr>
        <w:t>五、一般公共预算支出决算情况说明</w:t>
      </w:r>
    </w:p>
    <w:p w14:paraId="729283E9">
      <w:pPr>
        <w:ind w:firstLine="641"/>
      </w:pPr>
      <w:r>
        <w:rPr>
          <w:rFonts w:ascii="仿宋" w:hAnsi="仿宋" w:eastAsia="仿宋"/>
          <w:sz w:val="32"/>
        </w:rPr>
        <w:t>巴彦淖尔市</w:t>
      </w:r>
      <w:r>
        <w:rPr>
          <w:rFonts w:eastAsia="仿宋_GB2312"/>
          <w:sz w:val="32"/>
        </w:rPr>
        <w:t>蒙医医院2025年度一般公共预算财政拨款支出决算</w:t>
      </w:r>
      <w:r>
        <w:rPr>
          <w:rFonts w:eastAsia="仿宋_GB2312"/>
          <w:sz w:val="32"/>
          <w:u w:val="single"/>
        </w:rPr>
        <w:t>4397.83</w:t>
      </w:r>
      <w:r>
        <w:rPr>
          <w:rFonts w:eastAsia="仿宋_GB2312"/>
          <w:sz w:val="32"/>
        </w:rPr>
        <w:t>万元。与年初预算</w:t>
      </w:r>
      <w:r>
        <w:rPr>
          <w:rFonts w:hint="eastAsia" w:eastAsia="仿宋_GB2312"/>
          <w:sz w:val="32"/>
          <w:u w:val="single"/>
        </w:rPr>
        <w:t>1138.58</w:t>
      </w:r>
      <w:r>
        <w:rPr>
          <w:rFonts w:eastAsia="仿宋_GB2312"/>
          <w:sz w:val="32"/>
        </w:rPr>
        <w:t>万元相比，完成年初预算的</w:t>
      </w:r>
      <w:r>
        <w:rPr>
          <w:rFonts w:hint="eastAsia" w:eastAsia="仿宋_GB2312"/>
          <w:sz w:val="32"/>
          <w:u w:val="single"/>
        </w:rPr>
        <w:t>386.26</w:t>
      </w:r>
      <w:r>
        <w:rPr>
          <w:rFonts w:eastAsia="仿宋_GB2312"/>
          <w:sz w:val="32"/>
          <w:u w:val="single"/>
        </w:rPr>
        <w:t>%</w:t>
      </w:r>
      <w:r>
        <w:rPr>
          <w:rFonts w:hint="eastAsia" w:eastAsia="仿宋_GB2312"/>
          <w:sz w:val="32"/>
        </w:rPr>
        <w:t>。</w:t>
      </w:r>
      <w:r>
        <w:rPr>
          <w:rFonts w:eastAsia="仿宋_GB2312"/>
          <w:sz w:val="32"/>
        </w:rPr>
        <w:t>其中：</w:t>
      </w:r>
    </w:p>
    <w:p w14:paraId="75141E5A">
      <w:pPr>
        <w:pStyle w:val="39"/>
        <w:numPr>
          <w:ilvl w:val="0"/>
          <w:numId w:val="1"/>
        </w:numPr>
        <w:rPr>
          <w:rFonts w:hint="eastAsia" w:eastAsia="楷体"/>
          <w:b/>
          <w:sz w:val="32"/>
        </w:rPr>
      </w:pPr>
      <w:r>
        <w:rPr>
          <w:rFonts w:eastAsia="楷体"/>
          <w:b/>
          <w:sz w:val="32"/>
        </w:rPr>
        <w:t>社会保障和就业支出（类）</w:t>
      </w:r>
    </w:p>
    <w:p w14:paraId="4C4D1CB1">
      <w:pPr>
        <w:pStyle w:val="8"/>
        <w:spacing w:after="0" w:line="560" w:lineRule="exact"/>
        <w:ind w:firstLine="640" w:firstLineChars="200"/>
        <w:rPr>
          <w:rFonts w:ascii="仿宋" w:hAnsi="仿宋" w:eastAsia="仿宋" w:cs="仿宋"/>
          <w:sz w:val="32"/>
          <w:szCs w:val="32"/>
        </w:rPr>
      </w:pPr>
      <w:r>
        <w:rPr>
          <w:rFonts w:hint="eastAsia" w:ascii="仿宋" w:hAnsi="仿宋" w:eastAsia="仿宋" w:cs="宋体"/>
          <w:sz w:val="32"/>
          <w:szCs w:val="32"/>
        </w:rPr>
        <w:t>社会保障和就业</w:t>
      </w:r>
      <w:r>
        <w:rPr>
          <w:rFonts w:ascii="仿宋" w:hAnsi="仿宋" w:eastAsia="仿宋"/>
          <w:sz w:val="32"/>
          <w:szCs w:val="32"/>
        </w:rPr>
        <w:t>支出（类）</w:t>
      </w:r>
      <w:r>
        <w:rPr>
          <w:rFonts w:hint="eastAsia" w:ascii="仿宋" w:hAnsi="仿宋" w:eastAsia="仿宋" w:cs="宋体"/>
          <w:sz w:val="32"/>
          <w:szCs w:val="32"/>
        </w:rPr>
        <w:t>决算为</w:t>
      </w:r>
      <w:r>
        <w:rPr>
          <w:rFonts w:ascii="仿宋" w:hAnsi="仿宋" w:eastAsia="仿宋"/>
          <w:sz w:val="32"/>
          <w:szCs w:val="32"/>
          <w:u w:val="single"/>
        </w:rPr>
        <w:t>216.31</w:t>
      </w:r>
      <w:r>
        <w:rPr>
          <w:rFonts w:ascii="仿宋" w:hAnsi="仿宋" w:eastAsia="仿宋"/>
          <w:sz w:val="32"/>
          <w:szCs w:val="32"/>
        </w:rPr>
        <w:t>万元。</w:t>
      </w:r>
      <w:r>
        <w:rPr>
          <w:rFonts w:hint="eastAsia" w:ascii="仿宋" w:hAnsi="仿宋" w:eastAsia="仿宋"/>
          <w:sz w:val="32"/>
          <w:szCs w:val="32"/>
        </w:rPr>
        <w:t>与年初预算相比</w:t>
      </w:r>
      <w:r>
        <w:rPr>
          <w:rFonts w:ascii="仿宋" w:hAnsi="仿宋" w:eastAsia="仿宋"/>
          <w:sz w:val="32"/>
          <w:szCs w:val="32"/>
        </w:rPr>
        <w:t>增加</w:t>
      </w:r>
      <w:r>
        <w:rPr>
          <w:rFonts w:hint="eastAsia" w:ascii="仿宋" w:hAnsi="仿宋" w:eastAsia="仿宋"/>
          <w:sz w:val="32"/>
          <w:szCs w:val="32"/>
          <w:u w:val="single"/>
        </w:rPr>
        <w:t>1.6</w:t>
      </w:r>
      <w:r>
        <w:rPr>
          <w:rFonts w:ascii="仿宋" w:hAnsi="仿宋" w:eastAsia="仿宋"/>
          <w:sz w:val="32"/>
          <w:szCs w:val="32"/>
        </w:rPr>
        <w:t>万元</w:t>
      </w:r>
      <w:r>
        <w:rPr>
          <w:rFonts w:hint="eastAsia" w:ascii="仿宋" w:hAnsi="仿宋" w:eastAsia="仿宋"/>
          <w:sz w:val="32"/>
          <w:szCs w:val="32"/>
        </w:rPr>
        <w:t>。其中：</w:t>
      </w:r>
    </w:p>
    <w:p w14:paraId="1C5E6573">
      <w:pPr>
        <w:ind w:firstLine="640" w:firstLineChars="200"/>
        <w:rPr>
          <w:rFonts w:hint="eastAsia" w:ascii="仿宋" w:hAnsi="仿宋" w:eastAsia="仿宋" w:cs="宋体"/>
          <w:spacing w:val="9"/>
          <w:sz w:val="32"/>
          <w:szCs w:val="32"/>
        </w:rPr>
      </w:pPr>
      <w:r>
        <w:rPr>
          <w:rFonts w:hint="eastAsia" w:ascii="仿宋" w:hAnsi="仿宋" w:eastAsia="仿宋"/>
          <w:sz w:val="32"/>
          <w:szCs w:val="32"/>
          <w:u w:val="single"/>
        </w:rPr>
        <w:t>1</w:t>
      </w:r>
      <w:r>
        <w:rPr>
          <w:rFonts w:hint="eastAsia" w:ascii="仿宋" w:hAnsi="仿宋" w:eastAsia="仿宋"/>
          <w:sz w:val="32"/>
          <w:szCs w:val="32"/>
        </w:rPr>
        <w:t>、</w:t>
      </w:r>
      <w:r>
        <w:rPr>
          <w:rFonts w:ascii="仿宋" w:hAnsi="仿宋" w:eastAsia="仿宋"/>
          <w:sz w:val="32"/>
          <w:szCs w:val="32"/>
        </w:rPr>
        <w:t>民政管理事务（款）老龄事务（项）年初预算</w:t>
      </w:r>
      <w:r>
        <w:rPr>
          <w:rFonts w:hint="eastAsia" w:ascii="仿宋" w:hAnsi="仿宋" w:eastAsia="仿宋"/>
          <w:sz w:val="32"/>
          <w:szCs w:val="32"/>
          <w:u w:val="single"/>
        </w:rPr>
        <w:t>0</w:t>
      </w:r>
      <w:r>
        <w:rPr>
          <w:rFonts w:hint="eastAsia" w:ascii="仿宋" w:hAnsi="仿宋" w:eastAsia="仿宋"/>
          <w:sz w:val="32"/>
          <w:szCs w:val="32"/>
        </w:rPr>
        <w:t>万元，支出决算</w:t>
      </w:r>
      <w:r>
        <w:rPr>
          <w:rFonts w:ascii="仿宋" w:hAnsi="仿宋" w:eastAsia="仿宋"/>
          <w:sz w:val="32"/>
          <w:szCs w:val="32"/>
          <w:u w:val="single"/>
        </w:rPr>
        <w:t>1.00</w:t>
      </w:r>
      <w:r>
        <w:rPr>
          <w:rFonts w:ascii="仿宋" w:hAnsi="仿宋" w:eastAsia="仿宋"/>
          <w:sz w:val="32"/>
          <w:szCs w:val="32"/>
        </w:rPr>
        <w:t>万元，完成年初预算的</w:t>
      </w:r>
      <w:r>
        <w:rPr>
          <w:rFonts w:ascii="仿宋" w:hAnsi="仿宋" w:eastAsia="仿宋"/>
          <w:sz w:val="32"/>
          <w:szCs w:val="32"/>
          <w:u w:val="single"/>
        </w:rPr>
        <w:t>NaN</w:t>
      </w:r>
      <w:r>
        <w:rPr>
          <w:rFonts w:ascii="仿宋" w:hAnsi="仿宋" w:eastAsia="仿宋"/>
          <w:spacing w:val="9"/>
          <w:sz w:val="32"/>
          <w:szCs w:val="32"/>
          <w:u w:val="single"/>
        </w:rPr>
        <w:t>%</w:t>
      </w:r>
      <w:r>
        <w:rPr>
          <w:rFonts w:ascii="仿宋" w:hAnsi="仿宋" w:eastAsia="仿宋" w:cs="宋体"/>
          <w:spacing w:val="9"/>
          <w:sz w:val="32"/>
          <w:szCs w:val="32"/>
        </w:rPr>
        <w:t>。决算数与年初预算数的差异原因：追加老年事业费专项。</w:t>
      </w:r>
    </w:p>
    <w:p w14:paraId="75DC282A">
      <w:pPr>
        <w:ind w:firstLine="676" w:firstLineChars="200"/>
        <w:rPr>
          <w:rFonts w:hint="eastAsia" w:ascii="仿宋" w:hAnsi="仿宋" w:eastAsia="仿宋" w:cs="宋体"/>
          <w:spacing w:val="9"/>
          <w:sz w:val="32"/>
          <w:szCs w:val="32"/>
        </w:rPr>
      </w:pPr>
      <w:r>
        <w:rPr>
          <w:rFonts w:ascii="仿宋" w:hAnsi="仿宋" w:eastAsia="仿宋" w:cs="宋体"/>
          <w:spacing w:val="9"/>
          <w:sz w:val="32"/>
          <w:szCs w:val="32"/>
          <w:u w:val="single"/>
        </w:rPr>
        <w:t>2</w:t>
      </w:r>
      <w:r>
        <w:rPr>
          <w:rFonts w:hint="eastAsia" w:ascii="仿宋" w:hAnsi="仿宋" w:eastAsia="仿宋" w:cs="宋体"/>
          <w:spacing w:val="9"/>
          <w:sz w:val="32"/>
          <w:szCs w:val="32"/>
        </w:rPr>
        <w:t>、行政事业单位养老支出（款）事业单位离退休（项）年初预算</w:t>
      </w:r>
      <w:r>
        <w:rPr>
          <w:rFonts w:ascii="仿宋" w:hAnsi="仿宋" w:eastAsia="仿宋" w:cs="宋体"/>
          <w:spacing w:val="9"/>
          <w:sz w:val="32"/>
          <w:szCs w:val="32"/>
          <w:u w:val="single"/>
        </w:rPr>
        <w:t>123.11</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81.88</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66.51%</w:t>
      </w:r>
      <w:r>
        <w:rPr>
          <w:rFonts w:hint="eastAsia" w:ascii="仿宋" w:hAnsi="仿宋" w:eastAsia="仿宋" w:cs="宋体"/>
          <w:spacing w:val="9"/>
          <w:sz w:val="32"/>
          <w:szCs w:val="32"/>
        </w:rPr>
        <w:t>。决算数与年初预算数的差异原因：离退休人员经费调整。</w:t>
      </w:r>
    </w:p>
    <w:p w14:paraId="638416BD">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3</w:t>
      </w:r>
      <w:r>
        <w:rPr>
          <w:rFonts w:hint="eastAsia" w:ascii="仿宋" w:hAnsi="仿宋" w:eastAsia="仿宋" w:cs="宋体"/>
          <w:spacing w:val="9"/>
          <w:sz w:val="32"/>
          <w:szCs w:val="32"/>
        </w:rPr>
        <w:t>、行政事业单位养老支出（款）机关事业单位基本养老保险缴费支出（项）年初预算</w:t>
      </w:r>
      <w:r>
        <w:rPr>
          <w:rFonts w:ascii="仿宋" w:hAnsi="仿宋" w:eastAsia="仿宋" w:cs="宋体"/>
          <w:spacing w:val="9"/>
          <w:sz w:val="32"/>
          <w:szCs w:val="32"/>
          <w:u w:val="single"/>
        </w:rPr>
        <w:t>86.63</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86.48</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99.83%</w:t>
      </w:r>
      <w:r>
        <w:rPr>
          <w:rFonts w:hint="eastAsia" w:ascii="仿宋" w:hAnsi="仿宋" w:eastAsia="仿宋" w:cs="宋体"/>
          <w:spacing w:val="9"/>
          <w:sz w:val="32"/>
          <w:szCs w:val="32"/>
        </w:rPr>
        <w:t>。决算数与年初预算数差异原因，人员工资年度调整。</w:t>
      </w:r>
    </w:p>
    <w:p w14:paraId="4D5CB885">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4</w:t>
      </w:r>
      <w:r>
        <w:rPr>
          <w:rFonts w:hint="eastAsia" w:ascii="仿宋" w:hAnsi="仿宋" w:eastAsia="仿宋" w:cs="宋体"/>
          <w:spacing w:val="9"/>
          <w:sz w:val="32"/>
          <w:szCs w:val="32"/>
        </w:rPr>
        <w:t>、行政事业单位养老支出（款）机关事业单位职业年金缴费支出（项）年初预算</w:t>
      </w:r>
      <w:r>
        <w:rPr>
          <w:rFonts w:ascii="仿宋" w:hAnsi="仿宋" w:eastAsia="仿宋" w:cs="宋体"/>
          <w:spacing w:val="9"/>
          <w:sz w:val="32"/>
          <w:szCs w:val="32"/>
          <w:u w:val="single"/>
        </w:rPr>
        <w:t>0</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13.17</w:t>
      </w:r>
      <w:r>
        <w:rPr>
          <w:rFonts w:hint="eastAsia" w:ascii="仿宋" w:hAnsi="仿宋" w:eastAsia="仿宋" w:cs="宋体"/>
          <w:spacing w:val="9"/>
          <w:sz w:val="32"/>
          <w:szCs w:val="32"/>
        </w:rPr>
        <w:t>万元，完成年初预算的</w:t>
      </w:r>
      <w:r>
        <w:rPr>
          <w:rFonts w:ascii="仿宋" w:hAnsi="仿宋" w:eastAsia="仿宋"/>
          <w:sz w:val="32"/>
          <w:szCs w:val="32"/>
          <w:u w:val="single"/>
        </w:rPr>
        <w:t>NaN</w:t>
      </w:r>
      <w:r>
        <w:rPr>
          <w:rFonts w:ascii="仿宋" w:hAnsi="仿宋" w:eastAsia="仿宋"/>
          <w:spacing w:val="9"/>
          <w:sz w:val="32"/>
          <w:szCs w:val="32"/>
          <w:u w:val="single"/>
        </w:rPr>
        <w:t>%</w:t>
      </w:r>
      <w:r>
        <w:rPr>
          <w:rFonts w:hint="eastAsia" w:ascii="仿宋" w:hAnsi="仿宋" w:eastAsia="仿宋" w:cs="宋体"/>
          <w:spacing w:val="9"/>
          <w:sz w:val="32"/>
          <w:szCs w:val="32"/>
        </w:rPr>
        <w:t>。决算数与年初预算数的差异原因：退休人员职业年金缴费。</w:t>
      </w:r>
    </w:p>
    <w:p w14:paraId="039A696D">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5</w:t>
      </w:r>
      <w:r>
        <w:rPr>
          <w:rFonts w:hint="eastAsia" w:ascii="仿宋" w:hAnsi="仿宋" w:eastAsia="仿宋" w:cs="宋体"/>
          <w:spacing w:val="9"/>
          <w:sz w:val="32"/>
          <w:szCs w:val="32"/>
        </w:rPr>
        <w:t>、抚恤（款）死亡抚恤（项）年初预算</w:t>
      </w:r>
      <w:r>
        <w:rPr>
          <w:rFonts w:ascii="仿宋" w:hAnsi="仿宋" w:eastAsia="仿宋" w:cs="宋体"/>
          <w:spacing w:val="9"/>
          <w:sz w:val="32"/>
          <w:szCs w:val="32"/>
          <w:u w:val="single"/>
        </w:rPr>
        <w:t>0</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28.93</w:t>
      </w:r>
      <w:r>
        <w:rPr>
          <w:rFonts w:hint="eastAsia" w:ascii="仿宋" w:hAnsi="仿宋" w:eastAsia="仿宋" w:cs="宋体"/>
          <w:spacing w:val="9"/>
          <w:sz w:val="32"/>
          <w:szCs w:val="32"/>
        </w:rPr>
        <w:t>万元，完成年初预算的</w:t>
      </w:r>
      <w:r>
        <w:rPr>
          <w:rFonts w:ascii="仿宋" w:hAnsi="仿宋" w:eastAsia="仿宋"/>
          <w:sz w:val="32"/>
          <w:szCs w:val="32"/>
          <w:u w:val="single"/>
        </w:rPr>
        <w:t>NaN</w:t>
      </w:r>
      <w:r>
        <w:rPr>
          <w:rFonts w:ascii="仿宋" w:hAnsi="仿宋" w:eastAsia="仿宋"/>
          <w:spacing w:val="9"/>
          <w:sz w:val="32"/>
          <w:szCs w:val="32"/>
          <w:u w:val="single"/>
        </w:rPr>
        <w:t>%</w:t>
      </w:r>
      <w:r>
        <w:rPr>
          <w:rFonts w:hint="eastAsia" w:ascii="仿宋" w:hAnsi="仿宋" w:eastAsia="仿宋" w:cs="宋体"/>
          <w:spacing w:val="9"/>
          <w:sz w:val="32"/>
          <w:szCs w:val="32"/>
        </w:rPr>
        <w:t>。决算数与年初预算数的差异原因：当年发生人员死亡，追加死亡抚恤经费。</w:t>
      </w:r>
    </w:p>
    <w:p w14:paraId="58C99803">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6</w:t>
      </w:r>
      <w:r>
        <w:rPr>
          <w:rFonts w:hint="eastAsia" w:ascii="仿宋" w:hAnsi="仿宋" w:eastAsia="仿宋" w:cs="宋体"/>
          <w:spacing w:val="9"/>
          <w:sz w:val="32"/>
          <w:szCs w:val="32"/>
        </w:rPr>
        <w:t>、其他社会保障和就业支出（款）其他社会保障和就业支出（项）年初预算</w:t>
      </w:r>
      <w:r>
        <w:rPr>
          <w:rFonts w:ascii="仿宋" w:hAnsi="仿宋" w:eastAsia="仿宋" w:cs="宋体"/>
          <w:spacing w:val="9"/>
          <w:sz w:val="32"/>
          <w:szCs w:val="32"/>
          <w:u w:val="single"/>
        </w:rPr>
        <w:t>4.96</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4.85</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97.78%</w:t>
      </w:r>
      <w:r>
        <w:rPr>
          <w:rFonts w:hint="eastAsia" w:ascii="仿宋" w:hAnsi="仿宋" w:eastAsia="仿宋" w:cs="宋体"/>
          <w:spacing w:val="9"/>
          <w:sz w:val="32"/>
          <w:szCs w:val="32"/>
        </w:rPr>
        <w:t>。决算数与年初预算数差异原因，人员工资年度调整</w:t>
      </w:r>
    </w:p>
    <w:p w14:paraId="0EC7CDFF">
      <w:pPr>
        <w:ind w:firstLine="676" w:firstLineChars="200"/>
        <w:rPr>
          <w:rFonts w:hint="eastAsia" w:ascii="仿宋" w:hAnsi="仿宋" w:eastAsia="仿宋" w:cs="宋体"/>
          <w:b/>
          <w:spacing w:val="9"/>
          <w:sz w:val="32"/>
          <w:szCs w:val="32"/>
        </w:rPr>
      </w:pPr>
      <w:r>
        <w:rPr>
          <w:rFonts w:hint="eastAsia" w:ascii="仿宋" w:hAnsi="仿宋" w:eastAsia="仿宋" w:cs="宋体"/>
          <w:b/>
          <w:spacing w:val="9"/>
          <w:sz w:val="32"/>
          <w:szCs w:val="32"/>
        </w:rPr>
        <w:t>（二）卫生健康支出（类）</w:t>
      </w:r>
    </w:p>
    <w:p w14:paraId="28AB4AC2">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rPr>
        <w:t>卫生健康支出（类）决算为</w:t>
      </w:r>
      <w:r>
        <w:rPr>
          <w:rFonts w:ascii="仿宋" w:hAnsi="仿宋" w:eastAsia="仿宋" w:cs="宋体"/>
          <w:spacing w:val="9"/>
          <w:sz w:val="32"/>
          <w:szCs w:val="32"/>
          <w:u w:val="single"/>
        </w:rPr>
        <w:t>4099.02</w:t>
      </w:r>
      <w:r>
        <w:rPr>
          <w:rFonts w:hint="eastAsia" w:ascii="仿宋" w:hAnsi="仿宋" w:eastAsia="仿宋" w:cs="宋体"/>
          <w:spacing w:val="9"/>
          <w:sz w:val="32"/>
          <w:szCs w:val="32"/>
        </w:rPr>
        <w:t>万元，与年初预算</w:t>
      </w:r>
      <w:r>
        <w:rPr>
          <w:rFonts w:ascii="仿宋" w:hAnsi="仿宋" w:eastAsia="仿宋" w:cs="宋体"/>
          <w:spacing w:val="9"/>
          <w:sz w:val="32"/>
          <w:szCs w:val="32"/>
          <w:u w:val="single"/>
        </w:rPr>
        <w:t>839.99</w:t>
      </w:r>
      <w:r>
        <w:rPr>
          <w:rFonts w:hint="eastAsia" w:ascii="仿宋" w:hAnsi="仿宋" w:eastAsia="仿宋" w:cs="宋体"/>
          <w:spacing w:val="9"/>
          <w:sz w:val="32"/>
          <w:szCs w:val="32"/>
        </w:rPr>
        <w:t>万元相比增加</w:t>
      </w:r>
      <w:r>
        <w:rPr>
          <w:rFonts w:ascii="仿宋" w:hAnsi="仿宋" w:eastAsia="仿宋" w:cs="宋体"/>
          <w:spacing w:val="9"/>
          <w:sz w:val="32"/>
          <w:szCs w:val="32"/>
          <w:u w:val="single"/>
        </w:rPr>
        <w:t>3259.03</w:t>
      </w:r>
      <w:r>
        <w:rPr>
          <w:rFonts w:hint="eastAsia" w:ascii="仿宋" w:hAnsi="仿宋" w:eastAsia="仿宋" w:cs="宋体"/>
          <w:spacing w:val="9"/>
          <w:sz w:val="32"/>
          <w:szCs w:val="32"/>
        </w:rPr>
        <w:t>万元。其中：</w:t>
      </w:r>
    </w:p>
    <w:p w14:paraId="7CDE715F">
      <w:pPr>
        <w:ind w:firstLine="676" w:firstLineChars="200"/>
        <w:rPr>
          <w:rFonts w:hint="eastAsia" w:ascii="仿宋" w:hAnsi="仿宋" w:eastAsia="仿宋" w:cs="宋体"/>
          <w:spacing w:val="9"/>
          <w:sz w:val="32"/>
          <w:szCs w:val="32"/>
        </w:rPr>
      </w:pPr>
      <w:r>
        <w:rPr>
          <w:rFonts w:ascii="仿宋" w:hAnsi="仿宋" w:eastAsia="仿宋" w:cs="宋体"/>
          <w:spacing w:val="9"/>
          <w:sz w:val="32"/>
          <w:szCs w:val="32"/>
          <w:u w:val="single"/>
        </w:rPr>
        <w:t>1</w:t>
      </w:r>
      <w:r>
        <w:rPr>
          <w:rFonts w:hint="eastAsia" w:ascii="仿宋" w:hAnsi="仿宋" w:eastAsia="仿宋" w:cs="宋体"/>
          <w:spacing w:val="9"/>
          <w:sz w:val="32"/>
          <w:szCs w:val="32"/>
        </w:rPr>
        <w:t>、公立医院（款）中医（民族）医院（项）年初预算</w:t>
      </w:r>
      <w:r>
        <w:rPr>
          <w:rFonts w:ascii="仿宋" w:hAnsi="仿宋" w:eastAsia="仿宋" w:cs="宋体"/>
          <w:spacing w:val="9"/>
          <w:sz w:val="32"/>
          <w:szCs w:val="32"/>
          <w:u w:val="single"/>
        </w:rPr>
        <w:t>701.25</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3932.72</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560.82%</w:t>
      </w:r>
      <w:r>
        <w:rPr>
          <w:rFonts w:hint="eastAsia" w:ascii="仿宋" w:hAnsi="仿宋" w:eastAsia="仿宋" w:cs="宋体"/>
          <w:spacing w:val="9"/>
          <w:sz w:val="32"/>
          <w:szCs w:val="32"/>
        </w:rPr>
        <w:t>。决算数与年初预算数的差异原因：年中追加新建医院建设款。</w:t>
      </w:r>
    </w:p>
    <w:p w14:paraId="0B4A2558">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2</w:t>
      </w:r>
      <w:r>
        <w:rPr>
          <w:rFonts w:hint="eastAsia" w:ascii="仿宋" w:hAnsi="仿宋" w:eastAsia="仿宋" w:cs="宋体"/>
          <w:spacing w:val="9"/>
          <w:sz w:val="32"/>
          <w:szCs w:val="32"/>
        </w:rPr>
        <w:t>、公立医院（款）其他公立医院支出（项）年初预算</w:t>
      </w:r>
      <w:r>
        <w:rPr>
          <w:rFonts w:ascii="仿宋" w:hAnsi="仿宋" w:eastAsia="仿宋" w:cs="宋体"/>
          <w:spacing w:val="9"/>
          <w:sz w:val="32"/>
          <w:szCs w:val="32"/>
          <w:u w:val="single"/>
        </w:rPr>
        <w:t>58.00</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81.90</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141.21%</w:t>
      </w:r>
      <w:r>
        <w:rPr>
          <w:rFonts w:hint="eastAsia" w:ascii="仿宋" w:hAnsi="仿宋" w:eastAsia="仿宋" w:cs="宋体"/>
          <w:spacing w:val="9"/>
          <w:sz w:val="32"/>
          <w:szCs w:val="32"/>
        </w:rPr>
        <w:t>。决算数与年初预算数的差异原因：上级部门分配项目取消药品加成等项目经费。</w:t>
      </w:r>
    </w:p>
    <w:p w14:paraId="6FED6179">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3</w:t>
      </w:r>
      <w:r>
        <w:rPr>
          <w:rFonts w:hint="eastAsia" w:ascii="仿宋" w:hAnsi="仿宋" w:eastAsia="仿宋" w:cs="宋体"/>
          <w:spacing w:val="9"/>
          <w:sz w:val="32"/>
          <w:szCs w:val="32"/>
        </w:rPr>
        <w:t>、行政事业单位医疗（款）事业单位医疗（项）年初预算</w:t>
      </w:r>
      <w:r>
        <w:rPr>
          <w:rFonts w:ascii="仿宋" w:hAnsi="仿宋" w:eastAsia="仿宋" w:cs="宋体"/>
          <w:spacing w:val="9"/>
          <w:sz w:val="32"/>
          <w:szCs w:val="32"/>
          <w:u w:val="single"/>
        </w:rPr>
        <w:t>42.85</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42.85</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100%</w:t>
      </w:r>
      <w:r>
        <w:rPr>
          <w:rFonts w:hint="eastAsia" w:ascii="仿宋" w:hAnsi="仿宋" w:eastAsia="仿宋" w:cs="宋体"/>
          <w:spacing w:val="9"/>
          <w:sz w:val="32"/>
          <w:szCs w:val="32"/>
        </w:rPr>
        <w:t>。</w:t>
      </w:r>
    </w:p>
    <w:p w14:paraId="5BE97A7F">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4</w:t>
      </w:r>
      <w:r>
        <w:rPr>
          <w:rFonts w:hint="eastAsia" w:ascii="仿宋" w:hAnsi="仿宋" w:eastAsia="仿宋" w:cs="宋体"/>
          <w:spacing w:val="9"/>
          <w:sz w:val="32"/>
          <w:szCs w:val="32"/>
        </w:rPr>
        <w:t>、行政事业单位医疗（款）公务员医疗补助（项）年初预算</w:t>
      </w:r>
      <w:r>
        <w:rPr>
          <w:rFonts w:ascii="仿宋" w:hAnsi="仿宋" w:eastAsia="仿宋" w:cs="宋体"/>
          <w:spacing w:val="9"/>
          <w:sz w:val="32"/>
          <w:szCs w:val="32"/>
          <w:u w:val="single"/>
        </w:rPr>
        <w:t>27.90</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37.70</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135.13%</w:t>
      </w:r>
      <w:r>
        <w:rPr>
          <w:rFonts w:hint="eastAsia" w:ascii="仿宋" w:hAnsi="仿宋" w:eastAsia="仿宋" w:cs="宋体"/>
          <w:spacing w:val="9"/>
          <w:sz w:val="32"/>
          <w:szCs w:val="32"/>
        </w:rPr>
        <w:t>。决算数与年初预算数的差异原因：人员新增合医疗补助缴费基数调整，追加对应经费。</w:t>
      </w:r>
    </w:p>
    <w:p w14:paraId="0565AAC2">
      <w:pPr>
        <w:ind w:firstLine="676" w:firstLineChars="200"/>
        <w:rPr>
          <w:rFonts w:hint="eastAsia" w:ascii="仿宋" w:hAnsi="仿宋" w:eastAsia="仿宋" w:cs="宋体"/>
          <w:spacing w:val="9"/>
          <w:sz w:val="32"/>
          <w:szCs w:val="32"/>
        </w:rPr>
      </w:pPr>
      <w:r>
        <w:rPr>
          <w:rFonts w:hint="eastAsia" w:ascii="仿宋" w:hAnsi="仿宋" w:eastAsia="仿宋" w:cs="宋体"/>
          <w:spacing w:val="9"/>
          <w:sz w:val="32"/>
          <w:szCs w:val="32"/>
          <w:u w:val="single"/>
        </w:rPr>
        <w:t>5</w:t>
      </w:r>
      <w:r>
        <w:rPr>
          <w:rFonts w:hint="eastAsia" w:ascii="仿宋" w:hAnsi="仿宋" w:eastAsia="仿宋" w:cs="宋体"/>
          <w:spacing w:val="9"/>
          <w:sz w:val="32"/>
          <w:szCs w:val="32"/>
        </w:rPr>
        <w:t>、中医药事务（款）中医（民族医）药专项（项）年初预算</w:t>
      </w:r>
      <w:r>
        <w:rPr>
          <w:rFonts w:ascii="仿宋" w:hAnsi="仿宋" w:eastAsia="仿宋" w:cs="宋体"/>
          <w:spacing w:val="9"/>
          <w:sz w:val="32"/>
          <w:szCs w:val="32"/>
          <w:u w:val="single"/>
        </w:rPr>
        <w:t>10.00</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13.65</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136.50%</w:t>
      </w:r>
      <w:r>
        <w:rPr>
          <w:rFonts w:hint="eastAsia" w:ascii="仿宋" w:hAnsi="仿宋" w:eastAsia="仿宋" w:cs="宋体"/>
          <w:spacing w:val="9"/>
          <w:sz w:val="32"/>
          <w:szCs w:val="32"/>
        </w:rPr>
        <w:t>。决算数与年初预算数的差异原因：年中追加中医药专项工作经费。</w:t>
      </w:r>
    </w:p>
    <w:p w14:paraId="0CE5151B">
      <w:pPr>
        <w:ind w:firstLine="676" w:firstLineChars="200"/>
        <w:rPr>
          <w:rFonts w:hint="eastAsia" w:ascii="仿宋" w:hAnsi="仿宋" w:eastAsia="仿宋" w:cs="宋体"/>
          <w:b/>
          <w:spacing w:val="9"/>
          <w:sz w:val="32"/>
          <w:szCs w:val="32"/>
        </w:rPr>
      </w:pPr>
      <w:r>
        <w:rPr>
          <w:rFonts w:hint="eastAsia" w:ascii="仿宋" w:hAnsi="仿宋" w:eastAsia="仿宋" w:cs="宋体"/>
          <w:b/>
          <w:spacing w:val="9"/>
          <w:sz w:val="32"/>
          <w:szCs w:val="32"/>
        </w:rPr>
        <w:t>（三）住房保障支出（类）</w:t>
      </w:r>
    </w:p>
    <w:p w14:paraId="49369605">
      <w:pPr>
        <w:ind w:firstLine="676" w:firstLineChars="200"/>
        <w:rPr>
          <w:rFonts w:ascii="仿宋" w:hAnsi="仿宋" w:eastAsia="仿宋"/>
          <w:sz w:val="32"/>
          <w:szCs w:val="32"/>
        </w:rPr>
      </w:pPr>
      <w:r>
        <w:rPr>
          <w:rFonts w:hint="eastAsia" w:ascii="仿宋" w:hAnsi="仿宋" w:eastAsia="仿宋" w:cs="宋体"/>
          <w:spacing w:val="9"/>
          <w:sz w:val="32"/>
          <w:szCs w:val="32"/>
        </w:rPr>
        <w:t>住房保障支出（类）决算为</w:t>
      </w:r>
      <w:r>
        <w:rPr>
          <w:rFonts w:ascii="仿宋" w:hAnsi="仿宋" w:eastAsia="仿宋" w:cs="宋体"/>
          <w:spacing w:val="9"/>
          <w:sz w:val="32"/>
          <w:szCs w:val="32"/>
          <w:u w:val="single"/>
        </w:rPr>
        <w:t>82.51</w:t>
      </w:r>
      <w:r>
        <w:rPr>
          <w:rFonts w:hint="eastAsia" w:ascii="仿宋" w:hAnsi="仿宋" w:eastAsia="仿宋" w:cs="宋体"/>
          <w:spacing w:val="9"/>
          <w:sz w:val="32"/>
          <w:szCs w:val="32"/>
        </w:rPr>
        <w:t>万元，与年初预算</w:t>
      </w:r>
      <w:r>
        <w:rPr>
          <w:rFonts w:ascii="仿宋" w:hAnsi="仿宋" w:eastAsia="仿宋" w:cs="宋体"/>
          <w:spacing w:val="9"/>
          <w:sz w:val="32"/>
          <w:szCs w:val="32"/>
          <w:u w:val="single"/>
        </w:rPr>
        <w:t>83.88</w:t>
      </w:r>
      <w:r>
        <w:rPr>
          <w:rFonts w:hint="eastAsia" w:ascii="仿宋" w:hAnsi="仿宋" w:eastAsia="仿宋" w:cs="宋体"/>
          <w:spacing w:val="9"/>
          <w:sz w:val="32"/>
          <w:szCs w:val="32"/>
        </w:rPr>
        <w:t>万元相比减少</w:t>
      </w:r>
      <w:r>
        <w:rPr>
          <w:rFonts w:ascii="仿宋" w:hAnsi="仿宋" w:eastAsia="仿宋" w:cs="宋体"/>
          <w:spacing w:val="9"/>
          <w:sz w:val="32"/>
          <w:szCs w:val="32"/>
          <w:u w:val="single"/>
        </w:rPr>
        <w:t>1.37</w:t>
      </w:r>
      <w:r>
        <w:rPr>
          <w:rFonts w:hint="eastAsia" w:ascii="仿宋" w:hAnsi="仿宋" w:eastAsia="仿宋" w:cs="宋体"/>
          <w:spacing w:val="9"/>
          <w:sz w:val="32"/>
          <w:szCs w:val="32"/>
        </w:rPr>
        <w:t>万元。其中：住房改革支出（款）住房公积金（项）年初预算</w:t>
      </w:r>
      <w:r>
        <w:rPr>
          <w:rFonts w:ascii="仿宋" w:hAnsi="仿宋" w:eastAsia="仿宋" w:cs="宋体"/>
          <w:spacing w:val="9"/>
          <w:sz w:val="32"/>
          <w:szCs w:val="32"/>
          <w:u w:val="single"/>
        </w:rPr>
        <w:t>83.88</w:t>
      </w:r>
      <w:r>
        <w:rPr>
          <w:rFonts w:hint="eastAsia" w:ascii="仿宋" w:hAnsi="仿宋" w:eastAsia="仿宋" w:cs="宋体"/>
          <w:spacing w:val="9"/>
          <w:sz w:val="32"/>
          <w:szCs w:val="32"/>
        </w:rPr>
        <w:t>万元，支出决算</w:t>
      </w:r>
      <w:r>
        <w:rPr>
          <w:rFonts w:ascii="仿宋" w:hAnsi="仿宋" w:eastAsia="仿宋" w:cs="宋体"/>
          <w:spacing w:val="9"/>
          <w:sz w:val="32"/>
          <w:szCs w:val="32"/>
          <w:u w:val="single"/>
        </w:rPr>
        <w:t>82.51</w:t>
      </w:r>
      <w:r>
        <w:rPr>
          <w:rFonts w:hint="eastAsia" w:ascii="仿宋" w:hAnsi="仿宋" w:eastAsia="仿宋" w:cs="宋体"/>
          <w:spacing w:val="9"/>
          <w:sz w:val="32"/>
          <w:szCs w:val="32"/>
        </w:rPr>
        <w:t>万元，完成年初预算</w:t>
      </w:r>
      <w:r>
        <w:rPr>
          <w:rFonts w:ascii="仿宋" w:hAnsi="仿宋" w:eastAsia="仿宋" w:cs="宋体"/>
          <w:spacing w:val="9"/>
          <w:sz w:val="32"/>
          <w:szCs w:val="32"/>
          <w:u w:val="single"/>
        </w:rPr>
        <w:t>98.37%</w:t>
      </w:r>
      <w:r>
        <w:rPr>
          <w:rFonts w:hint="eastAsia" w:ascii="仿宋" w:hAnsi="仿宋" w:eastAsia="仿宋" w:cs="宋体"/>
          <w:spacing w:val="9"/>
          <w:sz w:val="32"/>
          <w:szCs w:val="32"/>
        </w:rPr>
        <w:t>。决算数与年初预算数的差异原因：单位人员变动，公积金缴存额略有减少。</w:t>
      </w:r>
    </w:p>
    <w:p w14:paraId="18FE946A">
      <w:pPr>
        <w:spacing w:line="600" w:lineRule="exact"/>
        <w:ind w:firstLine="643" w:firstLineChars="200"/>
        <w:outlineLvl w:val="2"/>
        <w:rPr>
          <w:rFonts w:eastAsia="黑体" w:cs="黑体"/>
          <w:b/>
          <w:bCs/>
          <w:sz w:val="32"/>
          <w:szCs w:val="36"/>
        </w:rPr>
      </w:pPr>
      <w:r>
        <w:rPr>
          <w:rFonts w:hint="eastAsia" w:eastAsia="黑体" w:cs="黑体"/>
          <w:b/>
          <w:bCs/>
          <w:sz w:val="32"/>
          <w:szCs w:val="36"/>
        </w:rPr>
        <w:t>六、一般公共预算基本支出决算情况说明</w:t>
      </w:r>
    </w:p>
    <w:p w14:paraId="2DB9569D">
      <w:pPr>
        <w:pStyle w:val="8"/>
        <w:spacing w:after="0" w:line="560" w:lineRule="exact"/>
        <w:ind w:firstLine="640" w:firstLineChars="200"/>
        <w:rPr>
          <w:rFonts w:eastAsia="仿宋_GB2312" w:cs="仿宋"/>
          <w:sz w:val="32"/>
          <w:szCs w:val="32"/>
        </w:rPr>
      </w:pPr>
      <w:r>
        <w:rPr>
          <w:rFonts w:ascii="仿宋" w:hAnsi="仿宋" w:eastAsia="仿宋"/>
          <w:sz w:val="32"/>
        </w:rPr>
        <w:t>巴彦淖尔</w:t>
      </w:r>
      <w:r>
        <w:rPr>
          <w:rFonts w:eastAsia="仿宋_GB2312"/>
          <w:sz w:val="32"/>
        </w:rPr>
        <w:t>市蒙医医院2025年度一般公共预算财政拨款基本支出决算</w:t>
      </w:r>
      <w:r>
        <w:rPr>
          <w:rFonts w:eastAsia="仿宋_GB2312"/>
          <w:sz w:val="32"/>
          <w:u w:val="single"/>
        </w:rPr>
        <w:t>1129.47</w:t>
      </w:r>
      <w:r>
        <w:rPr>
          <w:rFonts w:eastAsia="仿宋_GB2312"/>
          <w:sz w:val="32"/>
        </w:rPr>
        <w:t>万元，其中：</w:t>
      </w:r>
    </w:p>
    <w:p w14:paraId="2EDA4052">
      <w:pPr>
        <w:pStyle w:val="8"/>
        <w:spacing w:after="0" w:line="560" w:lineRule="exact"/>
        <w:ind w:firstLine="640" w:firstLineChars="200"/>
        <w:rPr>
          <w:rFonts w:ascii="仿宋" w:hAnsi="仿宋" w:eastAsia="仿宋" w:cs="仿宋"/>
          <w:sz w:val="32"/>
          <w:szCs w:val="32"/>
        </w:rPr>
      </w:pPr>
      <w:r>
        <w:rPr>
          <w:rFonts w:eastAsia="仿宋_GB2312"/>
          <w:sz w:val="32"/>
        </w:rPr>
        <w:t>（一）人员经费</w:t>
      </w:r>
      <w:r>
        <w:rPr>
          <w:rFonts w:eastAsia="仿宋_GB2312"/>
          <w:sz w:val="32"/>
          <w:u w:val="single"/>
        </w:rPr>
        <w:t>1126.83</w:t>
      </w:r>
      <w:r>
        <w:rPr>
          <w:rFonts w:eastAsia="仿宋_GB2312"/>
          <w:sz w:val="32"/>
        </w:rPr>
        <w:t>万元。主要包括：工资福利支出</w:t>
      </w:r>
      <w:r>
        <w:rPr>
          <w:rFonts w:eastAsia="仿宋_GB2312"/>
          <w:sz w:val="32"/>
          <w:u w:val="single"/>
        </w:rPr>
        <w:t>1016.02</w:t>
      </w:r>
      <w:r>
        <w:rPr>
          <w:rFonts w:eastAsia="仿宋_GB2312"/>
          <w:sz w:val="32"/>
        </w:rPr>
        <w:t>万元（其中基本工资</w:t>
      </w:r>
      <w:r>
        <w:rPr>
          <w:rFonts w:eastAsia="仿宋_GB2312"/>
          <w:sz w:val="32"/>
          <w:u w:val="single"/>
        </w:rPr>
        <w:t>392.58</w:t>
      </w:r>
      <w:r>
        <w:rPr>
          <w:rFonts w:eastAsia="仿宋_GB2312"/>
          <w:sz w:val="32"/>
        </w:rPr>
        <w:t>万元、津贴补贴</w:t>
      </w:r>
      <w:r>
        <w:rPr>
          <w:rFonts w:eastAsia="仿宋_GB2312"/>
          <w:sz w:val="32"/>
          <w:u w:val="single"/>
        </w:rPr>
        <w:t>238.34</w:t>
      </w:r>
      <w:r>
        <w:rPr>
          <w:rFonts w:eastAsia="仿宋_GB2312"/>
          <w:sz w:val="32"/>
        </w:rPr>
        <w:t>万元、绩效工资</w:t>
      </w:r>
      <w:r>
        <w:rPr>
          <w:rFonts w:eastAsia="仿宋_GB2312"/>
          <w:sz w:val="32"/>
          <w:u w:val="single"/>
        </w:rPr>
        <w:t>108.89</w:t>
      </w:r>
      <w:r>
        <w:rPr>
          <w:rFonts w:eastAsia="仿宋_GB2312"/>
          <w:sz w:val="32"/>
        </w:rPr>
        <w:t>万元、机关事业单位基本</w:t>
      </w:r>
      <w:r>
        <w:rPr>
          <w:rFonts w:ascii="仿宋" w:hAnsi="仿宋" w:eastAsia="仿宋"/>
          <w:sz w:val="32"/>
        </w:rPr>
        <w:t>养老保险缴费</w:t>
      </w:r>
      <w:r>
        <w:rPr>
          <w:rFonts w:ascii="仿宋" w:hAnsi="仿宋" w:eastAsia="仿宋"/>
          <w:sz w:val="32"/>
          <w:u w:val="single"/>
        </w:rPr>
        <w:t>86.48</w:t>
      </w:r>
      <w:r>
        <w:rPr>
          <w:rFonts w:ascii="仿宋" w:hAnsi="仿宋" w:eastAsia="仿宋"/>
          <w:sz w:val="32"/>
        </w:rPr>
        <w:t>万元、职业年金缴费</w:t>
      </w:r>
      <w:r>
        <w:rPr>
          <w:rFonts w:ascii="仿宋" w:hAnsi="仿宋" w:eastAsia="仿宋"/>
          <w:sz w:val="32"/>
          <w:u w:val="single"/>
        </w:rPr>
        <w:t>13.17</w:t>
      </w:r>
      <w:r>
        <w:rPr>
          <w:rFonts w:ascii="仿宋" w:hAnsi="仿宋" w:eastAsia="仿宋"/>
          <w:sz w:val="32"/>
        </w:rPr>
        <w:t>万元、职工基本医疗保险缴费</w:t>
      </w:r>
      <w:r>
        <w:rPr>
          <w:rFonts w:ascii="仿宋" w:hAnsi="仿宋" w:eastAsia="仿宋"/>
          <w:sz w:val="32"/>
          <w:u w:val="single"/>
        </w:rPr>
        <w:t>42.85</w:t>
      </w:r>
      <w:r>
        <w:rPr>
          <w:rFonts w:ascii="仿宋" w:hAnsi="仿宋" w:eastAsia="仿宋"/>
          <w:sz w:val="32"/>
        </w:rPr>
        <w:t>万元、公务员医疗补助缴费</w:t>
      </w:r>
      <w:r>
        <w:rPr>
          <w:rFonts w:ascii="仿宋" w:hAnsi="仿宋" w:eastAsia="仿宋"/>
          <w:sz w:val="32"/>
          <w:u w:val="single"/>
        </w:rPr>
        <w:t>27.90</w:t>
      </w:r>
      <w:r>
        <w:rPr>
          <w:rFonts w:ascii="仿宋" w:hAnsi="仿宋" w:eastAsia="仿宋"/>
          <w:sz w:val="32"/>
        </w:rPr>
        <w:t>万元、其他社会保障缴费</w:t>
      </w:r>
      <w:r>
        <w:rPr>
          <w:rFonts w:ascii="仿宋" w:hAnsi="仿宋" w:eastAsia="仿宋"/>
          <w:sz w:val="32"/>
          <w:u w:val="single"/>
        </w:rPr>
        <w:t>4.85</w:t>
      </w:r>
      <w:r>
        <w:rPr>
          <w:rFonts w:ascii="仿宋" w:hAnsi="仿宋" w:eastAsia="仿宋"/>
          <w:sz w:val="32"/>
        </w:rPr>
        <w:t>万元、住房公积金</w:t>
      </w:r>
      <w:r>
        <w:rPr>
          <w:rFonts w:ascii="仿宋" w:hAnsi="仿宋" w:eastAsia="仿宋"/>
          <w:sz w:val="32"/>
          <w:u w:val="single"/>
        </w:rPr>
        <w:t>82.51</w:t>
      </w:r>
      <w:r>
        <w:rPr>
          <w:rFonts w:ascii="仿宋" w:hAnsi="仿宋" w:eastAsia="仿宋"/>
          <w:sz w:val="32"/>
        </w:rPr>
        <w:t>万元、其他工资福利支出</w:t>
      </w:r>
      <w:r>
        <w:rPr>
          <w:rFonts w:ascii="仿宋" w:hAnsi="仿宋" w:eastAsia="仿宋"/>
          <w:sz w:val="32"/>
          <w:u w:val="single"/>
        </w:rPr>
        <w:t>18.45</w:t>
      </w:r>
      <w:r>
        <w:rPr>
          <w:rFonts w:ascii="仿宋" w:hAnsi="仿宋" w:eastAsia="仿宋"/>
          <w:sz w:val="32"/>
        </w:rPr>
        <w:t>万元）、对个人和家庭的补助</w:t>
      </w:r>
      <w:r>
        <w:rPr>
          <w:rFonts w:ascii="仿宋" w:hAnsi="仿宋" w:eastAsia="仿宋"/>
          <w:sz w:val="32"/>
          <w:u w:val="single"/>
        </w:rPr>
        <w:t>110.81</w:t>
      </w:r>
      <w:r>
        <w:rPr>
          <w:rFonts w:ascii="仿宋" w:hAnsi="仿宋" w:eastAsia="仿宋"/>
          <w:sz w:val="32"/>
        </w:rPr>
        <w:t>万元（其中退休费</w:t>
      </w:r>
      <w:r>
        <w:rPr>
          <w:rFonts w:ascii="仿宋" w:hAnsi="仿宋" w:eastAsia="仿宋"/>
          <w:sz w:val="32"/>
          <w:u w:val="single"/>
        </w:rPr>
        <w:t>81.88</w:t>
      </w:r>
      <w:r>
        <w:rPr>
          <w:rFonts w:ascii="仿宋" w:hAnsi="仿宋" w:eastAsia="仿宋"/>
          <w:sz w:val="32"/>
        </w:rPr>
        <w:t>万元、抚恤金</w:t>
      </w:r>
      <w:r>
        <w:rPr>
          <w:rFonts w:ascii="仿宋" w:hAnsi="仿宋" w:eastAsia="仿宋"/>
          <w:sz w:val="32"/>
          <w:u w:val="single"/>
        </w:rPr>
        <w:t>28.93</w:t>
      </w:r>
      <w:r>
        <w:rPr>
          <w:rFonts w:ascii="仿宋" w:hAnsi="仿宋" w:eastAsia="仿宋"/>
          <w:sz w:val="32"/>
        </w:rPr>
        <w:t>万元）等。</w:t>
      </w:r>
    </w:p>
    <w:p w14:paraId="01F5CD08">
      <w:pPr>
        <w:pStyle w:val="8"/>
        <w:spacing w:after="0" w:line="560" w:lineRule="exact"/>
        <w:ind w:firstLine="640" w:firstLineChars="200"/>
        <w:rPr>
          <w:rFonts w:eastAsia="仿宋_GB2312" w:cs="仿宋"/>
          <w:sz w:val="32"/>
          <w:szCs w:val="32"/>
        </w:rPr>
      </w:pPr>
      <w:r>
        <w:rPr>
          <w:rFonts w:eastAsia="仿宋_GB2312"/>
          <w:sz w:val="32"/>
        </w:rPr>
        <w:t>（二）公用经费</w:t>
      </w:r>
      <w:r>
        <w:rPr>
          <w:rFonts w:eastAsia="仿宋_GB2312"/>
          <w:sz w:val="32"/>
          <w:u w:val="single"/>
        </w:rPr>
        <w:t>2.64</w:t>
      </w:r>
      <w:r>
        <w:rPr>
          <w:rFonts w:eastAsia="仿宋_GB2312"/>
          <w:sz w:val="32"/>
        </w:rPr>
        <w:t>万元。主要包括：商品和服务支出</w:t>
      </w:r>
      <w:r>
        <w:rPr>
          <w:rFonts w:eastAsia="仿宋_GB2312"/>
          <w:sz w:val="32"/>
          <w:u w:val="single"/>
        </w:rPr>
        <w:t>2.64</w:t>
      </w:r>
      <w:r>
        <w:rPr>
          <w:rFonts w:eastAsia="仿宋_GB2312"/>
          <w:sz w:val="32"/>
        </w:rPr>
        <w:t>万元（其中福利费</w:t>
      </w:r>
      <w:r>
        <w:rPr>
          <w:rFonts w:eastAsia="仿宋_GB2312"/>
          <w:sz w:val="32"/>
          <w:u w:val="single"/>
        </w:rPr>
        <w:t>2.64</w:t>
      </w:r>
      <w:r>
        <w:rPr>
          <w:rFonts w:eastAsia="仿宋_GB2312"/>
          <w:sz w:val="32"/>
        </w:rPr>
        <w:t>万元）等。</w:t>
      </w:r>
    </w:p>
    <w:p w14:paraId="597D7EB4">
      <w:pPr>
        <w:spacing w:line="600" w:lineRule="exact"/>
        <w:ind w:firstLine="643" w:firstLineChars="200"/>
        <w:outlineLvl w:val="2"/>
        <w:rPr>
          <w:rFonts w:eastAsia="黑体" w:cs="黑体"/>
          <w:b/>
          <w:bCs/>
          <w:sz w:val="32"/>
          <w:szCs w:val="36"/>
        </w:rPr>
      </w:pPr>
      <w:r>
        <w:rPr>
          <w:rFonts w:hint="eastAsia" w:eastAsia="黑体" w:cs="黑体"/>
          <w:b/>
          <w:bCs/>
          <w:sz w:val="32"/>
          <w:szCs w:val="36"/>
        </w:rPr>
        <w:t>七、财政拨款“三公”经费支出决算情况说明</w:t>
      </w:r>
    </w:p>
    <w:p w14:paraId="0928174E">
      <w:pPr>
        <w:keepNext/>
        <w:keepLines/>
        <w:adjustRightInd w:val="0"/>
        <w:snapToGrid w:val="0"/>
        <w:spacing w:line="560" w:lineRule="exact"/>
        <w:ind w:firstLine="643"/>
        <w:rPr>
          <w:rFonts w:eastAsia="楷体"/>
          <w:b/>
          <w:bCs/>
          <w:sz w:val="32"/>
          <w:szCs w:val="32"/>
        </w:rPr>
      </w:pPr>
      <w:r>
        <w:rPr>
          <w:rFonts w:hint="eastAsia" w:eastAsia="楷体"/>
          <w:b/>
          <w:bCs/>
          <w:sz w:val="32"/>
          <w:szCs w:val="32"/>
        </w:rPr>
        <w:t>（一）财政拨款“三公”经费支出总体情况说明。</w:t>
      </w:r>
    </w:p>
    <w:p w14:paraId="52649445">
      <w:pPr>
        <w:pStyle w:val="8"/>
        <w:spacing w:after="0" w:line="560" w:lineRule="exact"/>
        <w:ind w:firstLine="640" w:firstLineChars="200"/>
        <w:rPr>
          <w:rFonts w:eastAsia="仿宋_GB2312" w:cs="仿宋"/>
          <w:sz w:val="32"/>
          <w:szCs w:val="32"/>
        </w:rPr>
      </w:pPr>
      <w:r>
        <w:rPr>
          <w:rFonts w:ascii="仿宋" w:hAnsi="仿宋" w:eastAsia="仿宋"/>
          <w:sz w:val="32"/>
        </w:rPr>
        <w:t>巴彦淖尔市蒙医医院2025年度财政拨款“三公”经费预算</w:t>
      </w:r>
      <w:r>
        <w:rPr>
          <w:rFonts w:ascii="仿宋" w:hAnsi="仿宋" w:eastAsia="仿宋"/>
          <w:sz w:val="32"/>
          <w:u w:val="single"/>
        </w:rPr>
        <w:t>0</w:t>
      </w:r>
      <w:r>
        <w:rPr>
          <w:rFonts w:ascii="仿宋" w:hAnsi="仿宋" w:eastAsia="仿宋"/>
          <w:sz w:val="32"/>
        </w:rPr>
        <w:t>万元，支出决算</w:t>
      </w:r>
      <w:r>
        <w:rPr>
          <w:rFonts w:ascii="仿宋" w:hAnsi="仿宋" w:eastAsia="仿宋"/>
          <w:sz w:val="32"/>
          <w:u w:val="single"/>
        </w:rPr>
        <w:t>0</w:t>
      </w:r>
      <w:r>
        <w:rPr>
          <w:rFonts w:ascii="仿宋" w:hAnsi="仿宋" w:eastAsia="仿宋"/>
          <w:sz w:val="32"/>
        </w:rPr>
        <w:t>万元。其</w:t>
      </w:r>
      <w:r>
        <w:rPr>
          <w:rFonts w:eastAsia="仿宋_GB2312"/>
          <w:sz w:val="32"/>
        </w:rPr>
        <w:t>中：因公出国（境）费预算</w:t>
      </w:r>
      <w:r>
        <w:rPr>
          <w:rFonts w:eastAsia="仿宋_GB2312"/>
          <w:sz w:val="32"/>
          <w:u w:val="single"/>
        </w:rPr>
        <w:t>0</w:t>
      </w:r>
      <w:r>
        <w:rPr>
          <w:rFonts w:eastAsia="仿宋_GB2312"/>
          <w:sz w:val="32"/>
        </w:rPr>
        <w:t>万元，支出决算</w:t>
      </w:r>
      <w:r>
        <w:rPr>
          <w:rFonts w:eastAsia="仿宋_GB2312"/>
          <w:sz w:val="32"/>
          <w:u w:val="single"/>
        </w:rPr>
        <w:t>0</w:t>
      </w:r>
      <w:r>
        <w:rPr>
          <w:rFonts w:eastAsia="仿宋_GB2312"/>
          <w:sz w:val="32"/>
        </w:rPr>
        <w:t>万元；公务用车购置及运行维护费预算</w:t>
      </w:r>
      <w:r>
        <w:rPr>
          <w:rFonts w:eastAsia="仿宋_GB2312"/>
          <w:sz w:val="32"/>
          <w:u w:val="single"/>
        </w:rPr>
        <w:t>0</w:t>
      </w:r>
      <w:r>
        <w:rPr>
          <w:rFonts w:eastAsia="仿宋_GB2312"/>
          <w:sz w:val="32"/>
        </w:rPr>
        <w:t>万元，支出决算</w:t>
      </w:r>
      <w:r>
        <w:rPr>
          <w:rFonts w:eastAsia="仿宋_GB2312"/>
          <w:sz w:val="32"/>
          <w:u w:val="single"/>
        </w:rPr>
        <w:t>0</w:t>
      </w:r>
      <w:r>
        <w:rPr>
          <w:rFonts w:eastAsia="仿宋_GB2312"/>
          <w:sz w:val="32"/>
        </w:rPr>
        <w:t>万元；公务接待费预算</w:t>
      </w:r>
      <w:r>
        <w:rPr>
          <w:rFonts w:eastAsia="仿宋_GB2312"/>
          <w:sz w:val="32"/>
          <w:u w:val="single"/>
        </w:rPr>
        <w:t>0</w:t>
      </w:r>
      <w:r>
        <w:rPr>
          <w:rFonts w:eastAsia="仿宋_GB2312"/>
          <w:sz w:val="32"/>
        </w:rPr>
        <w:t>万元，支出决算</w:t>
      </w:r>
      <w:r>
        <w:rPr>
          <w:rFonts w:eastAsia="仿宋_GB2312"/>
          <w:sz w:val="32"/>
          <w:u w:val="single"/>
        </w:rPr>
        <w:t>0</w:t>
      </w:r>
      <w:r>
        <w:rPr>
          <w:rFonts w:eastAsia="仿宋_GB2312"/>
          <w:sz w:val="32"/>
        </w:rPr>
        <w:t>万元。本单位无财政拨款“三公”经费收、支、余。</w:t>
      </w:r>
    </w:p>
    <w:p w14:paraId="1EF32635">
      <w:pPr>
        <w:keepNext/>
        <w:keepLines/>
        <w:adjustRightInd w:val="0"/>
        <w:snapToGrid w:val="0"/>
        <w:spacing w:line="560" w:lineRule="exact"/>
        <w:ind w:firstLine="643"/>
        <w:rPr>
          <w:rFonts w:eastAsia="楷体"/>
          <w:b/>
          <w:bCs/>
          <w:sz w:val="32"/>
          <w:szCs w:val="32"/>
        </w:rPr>
      </w:pPr>
      <w:r>
        <w:rPr>
          <w:rFonts w:hint="eastAsia" w:eastAsia="楷体"/>
          <w:b/>
          <w:bCs/>
          <w:sz w:val="32"/>
          <w:szCs w:val="32"/>
        </w:rPr>
        <w:t>（二）财政拨款“三公”经费支出具体情况说明。</w:t>
      </w:r>
    </w:p>
    <w:p w14:paraId="49565DD9">
      <w:pPr>
        <w:keepNext/>
        <w:keepLines/>
        <w:adjustRightInd w:val="0"/>
        <w:snapToGrid w:val="0"/>
        <w:spacing w:line="560" w:lineRule="exact"/>
        <w:ind w:firstLine="643"/>
        <w:rPr>
          <w:rFonts w:eastAsia="仿宋_GB2312" w:cs="仿宋"/>
          <w:sz w:val="32"/>
          <w:szCs w:val="32"/>
        </w:rPr>
      </w:pPr>
      <w:r>
        <w:rPr>
          <w:rFonts w:ascii="仿宋" w:hAnsi="仿宋" w:eastAsia="仿宋"/>
          <w:sz w:val="32"/>
        </w:rPr>
        <w:t>巴彦淖尔市蒙医医院2025年度财政拨款“三公”经费支</w:t>
      </w:r>
      <w:r>
        <w:rPr>
          <w:rFonts w:eastAsia="仿宋_GB2312"/>
          <w:sz w:val="32"/>
        </w:rPr>
        <w:t>出</w:t>
      </w:r>
      <w:r>
        <w:rPr>
          <w:rFonts w:eastAsia="仿宋_GB2312"/>
          <w:sz w:val="32"/>
          <w:u w:val="single"/>
        </w:rPr>
        <w:t>0</w:t>
      </w:r>
      <w:r>
        <w:rPr>
          <w:rFonts w:eastAsia="仿宋_GB2312"/>
          <w:sz w:val="32"/>
        </w:rPr>
        <w:t>万元。因公出国（境）费支出</w:t>
      </w:r>
      <w:r>
        <w:rPr>
          <w:rFonts w:eastAsia="仿宋_GB2312"/>
          <w:sz w:val="32"/>
          <w:u w:val="single"/>
        </w:rPr>
        <w:t>0</w:t>
      </w:r>
      <w:r>
        <w:rPr>
          <w:rFonts w:eastAsia="仿宋_GB2312"/>
          <w:sz w:val="32"/>
        </w:rPr>
        <w:t>万元，占</w:t>
      </w:r>
      <w:r>
        <w:rPr>
          <w:rFonts w:eastAsia="仿宋_GB2312"/>
          <w:sz w:val="32"/>
          <w:u w:val="single"/>
        </w:rPr>
        <w:t>0%</w:t>
      </w:r>
      <w:r>
        <w:rPr>
          <w:rFonts w:eastAsia="仿宋_GB2312"/>
          <w:sz w:val="32"/>
        </w:rPr>
        <w:t>；公务用车购置及运行维护费支出</w:t>
      </w:r>
      <w:r>
        <w:rPr>
          <w:rFonts w:eastAsia="仿宋_GB2312"/>
          <w:sz w:val="32"/>
          <w:u w:val="single"/>
        </w:rPr>
        <w:t>0</w:t>
      </w:r>
      <w:r>
        <w:rPr>
          <w:rFonts w:eastAsia="仿宋_GB2312"/>
          <w:sz w:val="32"/>
        </w:rPr>
        <w:t>万元，占</w:t>
      </w:r>
      <w:r>
        <w:rPr>
          <w:rFonts w:eastAsia="仿宋_GB2312"/>
          <w:sz w:val="32"/>
          <w:u w:val="single"/>
        </w:rPr>
        <w:t>0%</w:t>
      </w:r>
      <w:r>
        <w:rPr>
          <w:rFonts w:eastAsia="仿宋_GB2312"/>
          <w:sz w:val="32"/>
        </w:rPr>
        <w:t>；公务接待费支出</w:t>
      </w:r>
      <w:r>
        <w:rPr>
          <w:rFonts w:eastAsia="仿宋_GB2312"/>
          <w:sz w:val="32"/>
          <w:u w:val="single"/>
        </w:rPr>
        <w:t>0</w:t>
      </w:r>
      <w:r>
        <w:rPr>
          <w:rFonts w:eastAsia="仿宋_GB2312"/>
          <w:sz w:val="32"/>
        </w:rPr>
        <w:t>万元，占</w:t>
      </w:r>
      <w:r>
        <w:rPr>
          <w:rFonts w:eastAsia="仿宋_GB2312"/>
          <w:sz w:val="32"/>
          <w:u w:val="single"/>
        </w:rPr>
        <w:t>0%</w:t>
      </w:r>
      <w:r>
        <w:rPr>
          <w:rFonts w:eastAsia="仿宋_GB2312"/>
          <w:sz w:val="32"/>
        </w:rPr>
        <w:t>。其中：</w:t>
      </w:r>
    </w:p>
    <w:p w14:paraId="1659ACB7">
      <w:pPr>
        <w:pStyle w:val="8"/>
        <w:spacing w:after="0" w:line="560" w:lineRule="exact"/>
        <w:ind w:firstLine="640" w:firstLineChars="200"/>
        <w:rPr>
          <w:rFonts w:eastAsia="仿宋_GB2312" w:cs="仿宋"/>
          <w:sz w:val="32"/>
          <w:szCs w:val="32"/>
        </w:rPr>
      </w:pPr>
      <w:r>
        <w:rPr>
          <w:rFonts w:eastAsia="仿宋_GB2312"/>
          <w:sz w:val="32"/>
          <w:u w:val="single"/>
        </w:rPr>
        <w:t>1</w:t>
      </w:r>
      <w:r>
        <w:rPr>
          <w:rFonts w:eastAsia="仿宋_GB2312"/>
          <w:sz w:val="32"/>
        </w:rPr>
        <w:t>.因公出国（境）费支出</w:t>
      </w:r>
      <w:r>
        <w:rPr>
          <w:rFonts w:eastAsia="仿宋_GB2312"/>
          <w:sz w:val="32"/>
          <w:u w:val="single"/>
        </w:rPr>
        <w:t>0</w:t>
      </w:r>
      <w:r>
        <w:rPr>
          <w:rFonts w:eastAsia="仿宋_GB2312"/>
          <w:sz w:val="32"/>
        </w:rPr>
        <w:t>万元，全年出国（境）团组</w:t>
      </w:r>
      <w:r>
        <w:rPr>
          <w:rFonts w:eastAsia="仿宋_GB2312"/>
          <w:sz w:val="32"/>
          <w:u w:val="single"/>
        </w:rPr>
        <w:t>0</w:t>
      </w:r>
      <w:r>
        <w:rPr>
          <w:rFonts w:eastAsia="仿宋_GB2312"/>
          <w:sz w:val="32"/>
        </w:rPr>
        <w:t>个，累计</w:t>
      </w:r>
      <w:r>
        <w:rPr>
          <w:rFonts w:eastAsia="仿宋_GB2312"/>
          <w:sz w:val="32"/>
          <w:u w:val="single"/>
        </w:rPr>
        <w:t>0</w:t>
      </w:r>
      <w:r>
        <w:rPr>
          <w:rFonts w:eastAsia="仿宋_GB2312"/>
          <w:sz w:val="32"/>
        </w:rPr>
        <w:t>人次。</w:t>
      </w:r>
    </w:p>
    <w:p w14:paraId="0352F18D">
      <w:pPr>
        <w:pStyle w:val="8"/>
        <w:spacing w:after="0" w:line="560" w:lineRule="exact"/>
        <w:ind w:firstLine="640" w:firstLineChars="200"/>
        <w:rPr>
          <w:rFonts w:eastAsia="仿宋_GB2312" w:cs="仿宋"/>
          <w:sz w:val="32"/>
          <w:szCs w:val="32"/>
        </w:rPr>
      </w:pPr>
      <w:r>
        <w:rPr>
          <w:rFonts w:eastAsia="仿宋_GB2312"/>
          <w:sz w:val="32"/>
          <w:u w:val="single"/>
        </w:rPr>
        <w:t>2</w:t>
      </w:r>
      <w:r>
        <w:rPr>
          <w:rFonts w:eastAsia="仿宋_GB2312"/>
          <w:sz w:val="32"/>
        </w:rPr>
        <w:t>.公务用车购置及运行维护费支出</w:t>
      </w:r>
      <w:r>
        <w:rPr>
          <w:rFonts w:eastAsia="仿宋_GB2312"/>
          <w:sz w:val="32"/>
          <w:u w:val="single"/>
        </w:rPr>
        <w:t>0</w:t>
      </w:r>
      <w:r>
        <w:rPr>
          <w:rFonts w:eastAsia="仿宋_GB2312"/>
          <w:sz w:val="32"/>
        </w:rPr>
        <w:t>万元。其中：</w:t>
      </w:r>
    </w:p>
    <w:p w14:paraId="07267C5C">
      <w:pPr>
        <w:pStyle w:val="8"/>
        <w:spacing w:after="0" w:line="560" w:lineRule="exact"/>
        <w:ind w:firstLine="640" w:firstLineChars="200"/>
        <w:rPr>
          <w:rFonts w:eastAsia="仿宋_GB2312" w:cs="仿宋"/>
          <w:sz w:val="32"/>
          <w:szCs w:val="32"/>
        </w:rPr>
      </w:pPr>
      <w:r>
        <w:rPr>
          <w:rFonts w:eastAsia="仿宋_GB2312"/>
          <w:sz w:val="32"/>
        </w:rPr>
        <w:t>（</w:t>
      </w:r>
      <w:r>
        <w:rPr>
          <w:rFonts w:eastAsia="仿宋_GB2312"/>
          <w:sz w:val="32"/>
          <w:u w:val="single"/>
        </w:rPr>
        <w:t>1</w:t>
      </w:r>
      <w:r>
        <w:rPr>
          <w:rFonts w:eastAsia="仿宋_GB2312"/>
          <w:sz w:val="32"/>
        </w:rPr>
        <w:t>）公务用车购置支出</w:t>
      </w:r>
      <w:r>
        <w:rPr>
          <w:rFonts w:eastAsia="仿宋_GB2312"/>
          <w:sz w:val="32"/>
          <w:u w:val="single"/>
        </w:rPr>
        <w:t>0</w:t>
      </w:r>
      <w:r>
        <w:rPr>
          <w:rFonts w:eastAsia="仿宋_GB2312"/>
          <w:sz w:val="32"/>
        </w:rPr>
        <w:t>万元。本年度使用一般公共预算财政拨款购置公务用车</w:t>
      </w:r>
      <w:r>
        <w:rPr>
          <w:rFonts w:eastAsia="仿宋_GB2312"/>
          <w:sz w:val="32"/>
          <w:u w:val="single"/>
        </w:rPr>
        <w:t>0</w:t>
      </w:r>
      <w:r>
        <w:rPr>
          <w:rFonts w:eastAsia="仿宋_GB2312"/>
          <w:sz w:val="32"/>
        </w:rPr>
        <w:t>辆。</w:t>
      </w:r>
    </w:p>
    <w:p w14:paraId="049BD4E5">
      <w:pPr>
        <w:pStyle w:val="8"/>
        <w:spacing w:after="0" w:line="560" w:lineRule="exact"/>
        <w:ind w:firstLine="640" w:firstLineChars="200"/>
        <w:rPr>
          <w:rFonts w:eastAsia="仿宋_GB2312" w:cs="仿宋"/>
          <w:sz w:val="32"/>
          <w:szCs w:val="32"/>
        </w:rPr>
      </w:pPr>
      <w:r>
        <w:rPr>
          <w:rFonts w:eastAsia="仿宋_GB2312"/>
          <w:sz w:val="32"/>
        </w:rPr>
        <w:t>（</w:t>
      </w:r>
      <w:r>
        <w:rPr>
          <w:rFonts w:eastAsia="仿宋_GB2312"/>
          <w:sz w:val="32"/>
          <w:u w:val="single"/>
        </w:rPr>
        <w:t>2</w:t>
      </w:r>
      <w:r>
        <w:rPr>
          <w:rFonts w:eastAsia="仿宋_GB2312"/>
          <w:sz w:val="32"/>
        </w:rPr>
        <w:t>）公务用车运行维护费支出</w:t>
      </w:r>
      <w:r>
        <w:rPr>
          <w:rFonts w:eastAsia="仿宋_GB2312"/>
          <w:sz w:val="32"/>
          <w:u w:val="single"/>
        </w:rPr>
        <w:t>0</w:t>
      </w:r>
      <w:r>
        <w:rPr>
          <w:rFonts w:eastAsia="仿宋_GB2312"/>
          <w:sz w:val="32"/>
        </w:rPr>
        <w:t>万元。公务用车运行维护费主要用于按规定保留的公务用车的燃料费、维修费、过桥过路费、保险费、安全奖励费用等支出。截至2025年</w:t>
      </w:r>
      <w:r>
        <w:rPr>
          <w:rFonts w:eastAsia="仿宋_GB2312"/>
          <w:sz w:val="32"/>
          <w:u w:val="single"/>
        </w:rPr>
        <w:t>12</w:t>
      </w:r>
      <w:r>
        <w:rPr>
          <w:rFonts w:eastAsia="仿宋_GB2312"/>
          <w:sz w:val="32"/>
        </w:rPr>
        <w:t>月</w:t>
      </w:r>
      <w:r>
        <w:rPr>
          <w:rFonts w:eastAsia="仿宋_GB2312"/>
          <w:sz w:val="32"/>
          <w:u w:val="single"/>
        </w:rPr>
        <w:t>31</w:t>
      </w:r>
      <w:r>
        <w:rPr>
          <w:rFonts w:eastAsia="仿宋_GB2312"/>
          <w:sz w:val="32"/>
        </w:rPr>
        <w:t>日，使用一般公共预算财政拨款开支的公务用车保有量为</w:t>
      </w:r>
      <w:r>
        <w:rPr>
          <w:rFonts w:eastAsia="仿宋_GB2312"/>
          <w:sz w:val="32"/>
          <w:u w:val="single"/>
        </w:rPr>
        <w:t>0</w:t>
      </w:r>
      <w:r>
        <w:rPr>
          <w:rFonts w:eastAsia="仿宋_GB2312"/>
          <w:sz w:val="32"/>
        </w:rPr>
        <w:t>辆。</w:t>
      </w:r>
    </w:p>
    <w:p w14:paraId="21318D9E">
      <w:pPr>
        <w:pStyle w:val="8"/>
        <w:spacing w:after="0" w:line="560" w:lineRule="exact"/>
        <w:ind w:firstLine="640" w:firstLineChars="200"/>
        <w:rPr>
          <w:rFonts w:eastAsia="仿宋_GB2312" w:cs="仿宋"/>
          <w:sz w:val="32"/>
          <w:szCs w:val="32"/>
        </w:rPr>
      </w:pPr>
      <w:r>
        <w:rPr>
          <w:rFonts w:eastAsia="仿宋_GB2312"/>
          <w:sz w:val="32"/>
          <w:u w:val="single"/>
        </w:rPr>
        <w:t>3</w:t>
      </w:r>
      <w:r>
        <w:rPr>
          <w:rFonts w:eastAsia="仿宋_GB2312"/>
          <w:sz w:val="32"/>
        </w:rPr>
        <w:t>.公务接待费支出</w:t>
      </w:r>
      <w:r>
        <w:rPr>
          <w:rFonts w:eastAsia="仿宋_GB2312"/>
          <w:sz w:val="32"/>
          <w:u w:val="single"/>
        </w:rPr>
        <w:t>0</w:t>
      </w:r>
      <w:r>
        <w:rPr>
          <w:rFonts w:eastAsia="仿宋_GB2312"/>
          <w:sz w:val="32"/>
        </w:rPr>
        <w:t>万元。其中：国内公务接待支出</w:t>
      </w:r>
      <w:r>
        <w:rPr>
          <w:rFonts w:eastAsia="仿宋_GB2312"/>
          <w:sz w:val="32"/>
          <w:u w:val="single"/>
        </w:rPr>
        <w:t>0</w:t>
      </w:r>
      <w:r>
        <w:rPr>
          <w:rFonts w:eastAsia="仿宋_GB2312"/>
          <w:sz w:val="32"/>
        </w:rPr>
        <w:t>万元，接待</w:t>
      </w:r>
      <w:r>
        <w:rPr>
          <w:rFonts w:eastAsia="仿宋_GB2312"/>
          <w:sz w:val="32"/>
          <w:u w:val="single"/>
        </w:rPr>
        <w:t>0</w:t>
      </w:r>
      <w:r>
        <w:rPr>
          <w:rFonts w:eastAsia="仿宋_GB2312"/>
          <w:sz w:val="32"/>
        </w:rPr>
        <w:t>批次，</w:t>
      </w:r>
      <w:r>
        <w:rPr>
          <w:rFonts w:eastAsia="仿宋_GB2312"/>
          <w:sz w:val="32"/>
          <w:u w:val="single"/>
        </w:rPr>
        <w:t>0</w:t>
      </w:r>
      <w:r>
        <w:rPr>
          <w:rFonts w:eastAsia="仿宋_GB2312"/>
          <w:sz w:val="32"/>
        </w:rPr>
        <w:t>人次；国（境）外公务接待支出</w:t>
      </w:r>
      <w:r>
        <w:rPr>
          <w:rFonts w:eastAsia="仿宋_GB2312"/>
          <w:sz w:val="32"/>
          <w:u w:val="single"/>
        </w:rPr>
        <w:t>0</w:t>
      </w:r>
      <w:r>
        <w:rPr>
          <w:rFonts w:eastAsia="仿宋_GB2312"/>
          <w:sz w:val="32"/>
        </w:rPr>
        <w:t>万元，接待</w:t>
      </w:r>
      <w:r>
        <w:rPr>
          <w:rFonts w:eastAsia="仿宋_GB2312"/>
          <w:sz w:val="32"/>
          <w:u w:val="single"/>
        </w:rPr>
        <w:t>0</w:t>
      </w:r>
      <w:r>
        <w:rPr>
          <w:rFonts w:eastAsia="仿宋_GB2312"/>
          <w:sz w:val="32"/>
        </w:rPr>
        <w:t>批次，</w:t>
      </w:r>
      <w:r>
        <w:rPr>
          <w:rFonts w:eastAsia="仿宋_GB2312"/>
          <w:sz w:val="32"/>
          <w:u w:val="single"/>
        </w:rPr>
        <w:t>0</w:t>
      </w:r>
      <w:r>
        <w:rPr>
          <w:rFonts w:eastAsia="仿宋_GB2312"/>
          <w:sz w:val="32"/>
        </w:rPr>
        <w:t>人次。</w:t>
      </w:r>
    </w:p>
    <w:p w14:paraId="79F274E1">
      <w:pPr>
        <w:spacing w:line="600" w:lineRule="exact"/>
        <w:ind w:firstLine="643" w:firstLineChars="200"/>
        <w:outlineLvl w:val="2"/>
        <w:rPr>
          <w:rFonts w:eastAsia="黑体" w:cs="黑体"/>
          <w:b/>
          <w:bCs/>
          <w:sz w:val="32"/>
          <w:szCs w:val="36"/>
        </w:rPr>
      </w:pPr>
      <w:r>
        <w:rPr>
          <w:rFonts w:hint="eastAsia" w:eastAsia="黑体" w:cs="黑体"/>
          <w:b/>
          <w:bCs/>
          <w:sz w:val="32"/>
          <w:szCs w:val="36"/>
        </w:rPr>
        <w:t>八、政府性基金预算财政拨款支出决算情况说明</w:t>
      </w:r>
    </w:p>
    <w:p w14:paraId="2B60CC76">
      <w:pPr>
        <w:pStyle w:val="8"/>
        <w:spacing w:after="0" w:line="560" w:lineRule="exact"/>
        <w:ind w:firstLine="640" w:firstLineChars="200"/>
        <w:rPr>
          <w:rFonts w:eastAsia="仿宋_GB2312" w:cs="仿宋"/>
          <w:sz w:val="32"/>
          <w:szCs w:val="32"/>
        </w:rPr>
      </w:pPr>
      <w:r>
        <w:rPr>
          <w:rFonts w:ascii="仿宋" w:hAnsi="仿宋" w:eastAsia="仿宋"/>
          <w:sz w:val="32"/>
        </w:rPr>
        <w:t>巴彦淖尔市</w:t>
      </w:r>
      <w:r>
        <w:rPr>
          <w:rFonts w:eastAsia="仿宋_GB2312"/>
          <w:sz w:val="32"/>
        </w:rPr>
        <w:t>蒙医医院2025年度政府性基金支出决算</w:t>
      </w:r>
      <w:r>
        <w:rPr>
          <w:rFonts w:eastAsia="仿宋_GB2312"/>
          <w:sz w:val="32"/>
          <w:u w:val="single"/>
        </w:rPr>
        <w:t>0</w:t>
      </w:r>
      <w:r>
        <w:rPr>
          <w:rFonts w:eastAsia="仿宋_GB2312"/>
          <w:sz w:val="32"/>
        </w:rPr>
        <w:t>万元。与上年决算相比，增加</w:t>
      </w:r>
      <w:r>
        <w:rPr>
          <w:rFonts w:eastAsia="仿宋_GB2312"/>
          <w:sz w:val="32"/>
          <w:u w:val="single"/>
        </w:rPr>
        <w:t>0</w:t>
      </w:r>
      <w:r>
        <w:rPr>
          <w:rFonts w:eastAsia="仿宋_GB2312"/>
          <w:sz w:val="32"/>
        </w:rPr>
        <w:t>万元，增长</w:t>
      </w:r>
      <w:r>
        <w:rPr>
          <w:rFonts w:eastAsia="仿宋_GB2312"/>
          <w:sz w:val="32"/>
          <w:u w:val="single"/>
        </w:rPr>
        <w:t>0%</w:t>
      </w:r>
      <w:r>
        <w:rPr>
          <w:rFonts w:eastAsia="仿宋_GB2312"/>
          <w:sz w:val="32"/>
        </w:rPr>
        <w:t>，变动原因：本单位无政府性基金预算财政拨款收、支、余。</w:t>
      </w:r>
    </w:p>
    <w:p w14:paraId="19F23303">
      <w:pPr>
        <w:spacing w:line="600" w:lineRule="exact"/>
        <w:ind w:firstLine="643" w:firstLineChars="200"/>
        <w:outlineLvl w:val="2"/>
        <w:rPr>
          <w:rFonts w:eastAsia="黑体" w:cs="黑体"/>
          <w:b/>
          <w:bCs/>
          <w:sz w:val="32"/>
          <w:szCs w:val="36"/>
        </w:rPr>
      </w:pPr>
      <w:r>
        <w:rPr>
          <w:rFonts w:hint="eastAsia" w:eastAsia="黑体" w:cs="黑体"/>
          <w:b/>
          <w:bCs/>
          <w:sz w:val="32"/>
          <w:szCs w:val="36"/>
        </w:rPr>
        <w:t>九、国有资本经营预算财政拨款支出决算情况说明</w:t>
      </w:r>
    </w:p>
    <w:p w14:paraId="5FCCE465">
      <w:pPr>
        <w:pStyle w:val="8"/>
        <w:spacing w:after="0" w:line="560" w:lineRule="exact"/>
        <w:ind w:firstLine="640" w:firstLineChars="200"/>
        <w:rPr>
          <w:rFonts w:eastAsia="仿宋_GB2312" w:cs="仿宋"/>
          <w:sz w:val="32"/>
          <w:szCs w:val="32"/>
        </w:rPr>
      </w:pPr>
      <w:r>
        <w:rPr>
          <w:rFonts w:ascii="仿宋" w:hAnsi="仿宋" w:eastAsia="仿宋"/>
          <w:sz w:val="32"/>
        </w:rPr>
        <w:t>巴彦淖尔市蒙医医院2025年度国有资本经营预算支出</w:t>
      </w:r>
      <w:r>
        <w:rPr>
          <w:rFonts w:eastAsia="仿宋_GB2312"/>
          <w:sz w:val="32"/>
        </w:rPr>
        <w:t>决算</w:t>
      </w:r>
      <w:r>
        <w:rPr>
          <w:rFonts w:eastAsia="仿宋_GB2312"/>
          <w:sz w:val="32"/>
          <w:u w:val="single"/>
        </w:rPr>
        <w:t>0</w:t>
      </w:r>
      <w:r>
        <w:rPr>
          <w:rFonts w:eastAsia="仿宋_GB2312"/>
          <w:sz w:val="32"/>
        </w:rPr>
        <w:t>万元。与上年决算相比，增加</w:t>
      </w:r>
      <w:r>
        <w:rPr>
          <w:rFonts w:eastAsia="仿宋_GB2312"/>
          <w:sz w:val="32"/>
          <w:u w:val="single"/>
        </w:rPr>
        <w:t>0</w:t>
      </w:r>
      <w:r>
        <w:rPr>
          <w:rFonts w:eastAsia="仿宋_GB2312"/>
          <w:sz w:val="32"/>
        </w:rPr>
        <w:t>万元，增长</w:t>
      </w:r>
      <w:r>
        <w:rPr>
          <w:rFonts w:eastAsia="仿宋_GB2312"/>
          <w:sz w:val="32"/>
          <w:u w:val="single"/>
        </w:rPr>
        <w:t>0%</w:t>
      </w:r>
      <w:r>
        <w:rPr>
          <w:rFonts w:eastAsia="仿宋_GB2312"/>
          <w:sz w:val="32"/>
        </w:rPr>
        <w:t>，变动原因：本单位无国有资本经营预算财政拨款收、支、余。</w:t>
      </w:r>
    </w:p>
    <w:p w14:paraId="0EF6DC21">
      <w:pPr>
        <w:keepNext/>
        <w:spacing w:line="600" w:lineRule="exact"/>
        <w:ind w:firstLine="643" w:firstLineChars="200"/>
        <w:outlineLvl w:val="2"/>
        <w:rPr>
          <w:rFonts w:eastAsia="黑体" w:cs="黑体"/>
          <w:b/>
          <w:bCs/>
          <w:sz w:val="32"/>
          <w:szCs w:val="36"/>
        </w:rPr>
      </w:pPr>
      <w:r>
        <w:rPr>
          <w:rFonts w:hint="eastAsia" w:eastAsia="黑体" w:cs="黑体"/>
          <w:b/>
          <w:bCs/>
          <w:sz w:val="32"/>
          <w:szCs w:val="36"/>
        </w:rPr>
        <w:t>十、项目支出决算情况说明</w:t>
      </w:r>
    </w:p>
    <w:p w14:paraId="4EA64D5A">
      <w:pPr>
        <w:spacing w:line="560" w:lineRule="exact"/>
        <w:ind w:firstLine="640" w:firstLineChars="200"/>
        <w:rPr>
          <w:rFonts w:eastAsia="仿宋_GB2312" w:cstheme="minorBidi"/>
          <w:sz w:val="32"/>
          <w:szCs w:val="32"/>
          <w:highlight w:val="yellow"/>
        </w:rPr>
      </w:pPr>
      <w:r>
        <w:rPr>
          <w:rFonts w:ascii="仿宋" w:hAnsi="仿宋" w:eastAsia="仿宋"/>
          <w:sz w:val="32"/>
        </w:rPr>
        <w:t>巴彦淖尔市蒙医医院2025年度预算安排项目</w:t>
      </w:r>
      <w:r>
        <w:rPr>
          <w:rFonts w:hint="eastAsia" w:ascii="仿宋" w:hAnsi="仿宋" w:eastAsia="仿宋"/>
          <w:sz w:val="32"/>
          <w:u w:val="single"/>
        </w:rPr>
        <w:t>0</w:t>
      </w:r>
      <w:r>
        <w:rPr>
          <w:rFonts w:ascii="仿宋" w:hAnsi="仿宋" w:eastAsia="仿宋"/>
          <w:sz w:val="32"/>
        </w:rPr>
        <w:t>个，实</w:t>
      </w:r>
      <w:r>
        <w:rPr>
          <w:rFonts w:eastAsia="仿宋_GB2312"/>
          <w:sz w:val="32"/>
        </w:rPr>
        <w:t>施项目</w:t>
      </w:r>
      <w:r>
        <w:rPr>
          <w:rFonts w:hint="eastAsia" w:eastAsia="仿宋_GB2312"/>
          <w:sz w:val="32"/>
          <w:u w:val="single"/>
        </w:rPr>
        <w:t>12</w:t>
      </w:r>
      <w:r>
        <w:rPr>
          <w:rFonts w:eastAsia="仿宋_GB2312"/>
          <w:sz w:val="32"/>
        </w:rPr>
        <w:t>个，完成项目</w:t>
      </w:r>
      <w:r>
        <w:rPr>
          <w:rFonts w:hint="eastAsia" w:eastAsia="仿宋_GB2312"/>
          <w:sz w:val="32"/>
          <w:u w:val="single"/>
        </w:rPr>
        <w:t>10</w:t>
      </w:r>
      <w:r>
        <w:rPr>
          <w:rFonts w:eastAsia="仿宋_GB2312"/>
          <w:sz w:val="32"/>
        </w:rPr>
        <w:t>个，项目支出总金额</w:t>
      </w:r>
      <w:r>
        <w:rPr>
          <w:rFonts w:eastAsia="仿宋_GB2312"/>
          <w:sz w:val="32"/>
          <w:u w:val="single"/>
        </w:rPr>
        <w:t>3319.12</w:t>
      </w:r>
      <w:r>
        <w:rPr>
          <w:rFonts w:eastAsia="仿宋_GB2312"/>
          <w:sz w:val="32"/>
        </w:rPr>
        <w:t>万元。资金来源包括年初结转结余</w:t>
      </w:r>
      <w:r>
        <w:rPr>
          <w:rFonts w:hint="eastAsia" w:eastAsia="仿宋_GB2312"/>
          <w:sz w:val="32"/>
          <w:u w:val="single"/>
        </w:rPr>
        <w:t>0</w:t>
      </w:r>
      <w:r>
        <w:rPr>
          <w:rFonts w:eastAsia="仿宋_GB2312"/>
          <w:sz w:val="32"/>
        </w:rPr>
        <w:t>万元，本年财政拨款金额</w:t>
      </w:r>
      <w:r>
        <w:rPr>
          <w:rFonts w:eastAsia="仿宋_GB2312"/>
          <w:sz w:val="32"/>
          <w:u w:val="single"/>
        </w:rPr>
        <w:t>3268.36</w:t>
      </w:r>
      <w:r>
        <w:rPr>
          <w:rFonts w:eastAsia="仿宋_GB2312"/>
          <w:sz w:val="32"/>
        </w:rPr>
        <w:t>万元，本年其他资金</w:t>
      </w:r>
      <w:r>
        <w:rPr>
          <w:rFonts w:eastAsia="仿宋_GB2312"/>
          <w:sz w:val="32"/>
          <w:u w:val="single"/>
        </w:rPr>
        <w:t>50.76</w:t>
      </w:r>
      <w:r>
        <w:rPr>
          <w:rFonts w:eastAsia="仿宋_GB2312"/>
          <w:sz w:val="32"/>
        </w:rPr>
        <w:t>万元。</w:t>
      </w:r>
    </w:p>
    <w:p w14:paraId="38F1FAC7">
      <w:pPr>
        <w:spacing w:line="600" w:lineRule="exact"/>
        <w:ind w:firstLine="643" w:firstLineChars="200"/>
        <w:outlineLvl w:val="2"/>
        <w:rPr>
          <w:rFonts w:eastAsia="黑体" w:cs="黑体"/>
          <w:b/>
          <w:bCs/>
          <w:sz w:val="32"/>
          <w:szCs w:val="36"/>
        </w:rPr>
      </w:pPr>
      <w:r>
        <w:rPr>
          <w:rFonts w:hint="eastAsia" w:eastAsia="黑体" w:cs="黑体"/>
          <w:b/>
          <w:bCs/>
          <w:sz w:val="32"/>
          <w:szCs w:val="36"/>
        </w:rPr>
        <w:t>十一、机构运行经费支出决算情况说明</w:t>
      </w:r>
    </w:p>
    <w:p w14:paraId="48264E45">
      <w:pPr>
        <w:pStyle w:val="8"/>
        <w:spacing w:after="0" w:line="560" w:lineRule="exact"/>
        <w:ind w:firstLine="640" w:firstLineChars="200"/>
        <w:rPr>
          <w:rFonts w:eastAsia="仿宋_GB2312" w:cs="仿宋"/>
          <w:sz w:val="32"/>
          <w:szCs w:val="32"/>
        </w:rPr>
      </w:pPr>
      <w:r>
        <w:rPr>
          <w:rFonts w:ascii="仿宋" w:hAnsi="仿宋" w:eastAsia="仿宋"/>
          <w:sz w:val="32"/>
        </w:rPr>
        <w:t>巴彦淖尔市蒙医</w:t>
      </w:r>
      <w:r>
        <w:rPr>
          <w:rFonts w:eastAsia="仿宋_GB2312"/>
          <w:sz w:val="32"/>
        </w:rPr>
        <w:t>医院2025年度机构运行经费支出决算</w:t>
      </w:r>
      <w:r>
        <w:rPr>
          <w:rFonts w:eastAsia="仿宋_GB2312"/>
          <w:sz w:val="32"/>
          <w:u w:val="single"/>
        </w:rPr>
        <w:t>2.64</w:t>
      </w:r>
      <w:r>
        <w:rPr>
          <w:rFonts w:eastAsia="仿宋_GB2312"/>
          <w:sz w:val="32"/>
        </w:rPr>
        <w:t>万元。与上年决算相比，增加</w:t>
      </w:r>
      <w:r>
        <w:rPr>
          <w:rFonts w:eastAsia="仿宋_GB2312"/>
          <w:sz w:val="32"/>
          <w:u w:val="single"/>
        </w:rPr>
        <w:t>0.48</w:t>
      </w:r>
      <w:r>
        <w:rPr>
          <w:rFonts w:eastAsia="仿宋_GB2312"/>
          <w:sz w:val="32"/>
        </w:rPr>
        <w:t>万元，增长</w:t>
      </w:r>
      <w:r>
        <w:rPr>
          <w:rFonts w:eastAsia="仿宋_GB2312"/>
          <w:sz w:val="32"/>
          <w:u w:val="single"/>
        </w:rPr>
        <w:t>22.22%</w:t>
      </w:r>
      <w:r>
        <w:rPr>
          <w:rFonts w:eastAsia="仿宋_GB2312"/>
          <w:sz w:val="32"/>
        </w:rPr>
        <w:t>，变动原因：单位新增人员。</w:t>
      </w:r>
    </w:p>
    <w:p w14:paraId="54A5B785">
      <w:pPr>
        <w:spacing w:line="600" w:lineRule="exact"/>
        <w:ind w:firstLine="643" w:firstLineChars="200"/>
        <w:outlineLvl w:val="2"/>
        <w:rPr>
          <w:rFonts w:eastAsia="黑体" w:cs="黑体"/>
          <w:b/>
          <w:bCs/>
          <w:sz w:val="32"/>
          <w:szCs w:val="36"/>
        </w:rPr>
      </w:pPr>
      <w:r>
        <w:rPr>
          <w:rFonts w:hint="eastAsia" w:eastAsia="黑体" w:cs="黑体"/>
          <w:b/>
          <w:bCs/>
          <w:sz w:val="32"/>
          <w:szCs w:val="36"/>
        </w:rPr>
        <w:t>十二、政府采购支出决算情况说明</w:t>
      </w:r>
    </w:p>
    <w:p w14:paraId="0B894089">
      <w:pPr>
        <w:pStyle w:val="8"/>
        <w:spacing w:after="0" w:line="560" w:lineRule="exact"/>
        <w:ind w:firstLine="640" w:firstLineChars="200"/>
        <w:rPr>
          <w:rFonts w:eastAsia="仿宋_GB2312" w:cs="仿宋"/>
          <w:sz w:val="32"/>
          <w:szCs w:val="32"/>
        </w:rPr>
      </w:pPr>
      <w:r>
        <w:rPr>
          <w:rFonts w:ascii="仿宋" w:hAnsi="仿宋" w:eastAsia="仿宋"/>
          <w:sz w:val="32"/>
        </w:rPr>
        <w:t>巴彦淖尔市蒙医医院2025年度政府采购支出总额</w:t>
      </w:r>
      <w:r>
        <w:rPr>
          <w:rFonts w:ascii="仿宋" w:hAnsi="仿宋" w:eastAsia="仿宋"/>
          <w:sz w:val="32"/>
          <w:u w:val="single"/>
        </w:rPr>
        <w:t>59.91</w:t>
      </w:r>
      <w:r>
        <w:rPr>
          <w:rFonts w:eastAsia="仿宋_GB2312"/>
          <w:sz w:val="32"/>
        </w:rPr>
        <w:t>万元，其中：政府采购货物支出</w:t>
      </w:r>
      <w:r>
        <w:rPr>
          <w:rFonts w:eastAsia="仿宋_GB2312"/>
          <w:sz w:val="32"/>
          <w:u w:val="single"/>
        </w:rPr>
        <w:t>6.78</w:t>
      </w:r>
      <w:r>
        <w:rPr>
          <w:rFonts w:eastAsia="仿宋_GB2312"/>
          <w:sz w:val="32"/>
        </w:rPr>
        <w:t>万元、政府采购工程支出</w:t>
      </w:r>
      <w:r>
        <w:rPr>
          <w:rFonts w:eastAsia="仿宋_GB2312"/>
          <w:sz w:val="32"/>
          <w:u w:val="single"/>
        </w:rPr>
        <w:t>0</w:t>
      </w:r>
      <w:r>
        <w:rPr>
          <w:rFonts w:eastAsia="仿宋_GB2312"/>
          <w:sz w:val="32"/>
        </w:rPr>
        <w:t>万元、政府采购服务支出</w:t>
      </w:r>
      <w:r>
        <w:rPr>
          <w:rFonts w:eastAsia="仿宋_GB2312"/>
          <w:sz w:val="32"/>
          <w:u w:val="single"/>
        </w:rPr>
        <w:t>53.13</w:t>
      </w:r>
      <w:r>
        <w:rPr>
          <w:rFonts w:eastAsia="仿宋_GB2312"/>
          <w:sz w:val="32"/>
        </w:rPr>
        <w:t>万元。政府采购授予中小企业合同金额</w:t>
      </w:r>
      <w:r>
        <w:rPr>
          <w:rFonts w:eastAsia="仿宋_GB2312"/>
          <w:sz w:val="32"/>
          <w:u w:val="single"/>
        </w:rPr>
        <w:t>55.19</w:t>
      </w:r>
      <w:r>
        <w:rPr>
          <w:rFonts w:eastAsia="仿宋_GB2312"/>
          <w:sz w:val="32"/>
        </w:rPr>
        <w:t>万元，占政府采购支出总额的</w:t>
      </w:r>
      <w:r>
        <w:rPr>
          <w:rFonts w:eastAsia="仿宋_GB2312"/>
          <w:sz w:val="32"/>
          <w:u w:val="single"/>
        </w:rPr>
        <w:t>92.12%</w:t>
      </w:r>
      <w:r>
        <w:rPr>
          <w:rFonts w:eastAsia="仿宋_GB2312"/>
          <w:sz w:val="32"/>
        </w:rPr>
        <w:t>，其中：授予小微企业合同金额</w:t>
      </w:r>
      <w:r>
        <w:rPr>
          <w:rFonts w:eastAsia="仿宋_GB2312"/>
          <w:sz w:val="32"/>
          <w:u w:val="single"/>
        </w:rPr>
        <w:t>55.19</w:t>
      </w:r>
      <w:r>
        <w:rPr>
          <w:rFonts w:eastAsia="仿宋_GB2312"/>
          <w:sz w:val="32"/>
        </w:rPr>
        <w:t>万元，占政府采购支出总额的</w:t>
      </w:r>
      <w:r>
        <w:rPr>
          <w:rFonts w:eastAsia="仿宋_GB2312"/>
          <w:sz w:val="32"/>
          <w:u w:val="single"/>
        </w:rPr>
        <w:t>92.12%</w:t>
      </w:r>
      <w:r>
        <w:rPr>
          <w:rFonts w:eastAsia="仿宋_GB2312"/>
          <w:sz w:val="32"/>
        </w:rPr>
        <w:t>。</w:t>
      </w:r>
    </w:p>
    <w:p w14:paraId="35528E3B">
      <w:pPr>
        <w:keepNext/>
        <w:spacing w:line="600" w:lineRule="exact"/>
        <w:ind w:firstLine="643" w:firstLineChars="200"/>
        <w:outlineLvl w:val="2"/>
        <w:rPr>
          <w:rFonts w:eastAsia="黑体" w:cs="黑体"/>
          <w:b/>
          <w:bCs/>
          <w:sz w:val="32"/>
          <w:szCs w:val="36"/>
        </w:rPr>
      </w:pPr>
      <w:r>
        <w:rPr>
          <w:rFonts w:hint="eastAsia" w:eastAsia="黑体" w:cs="黑体"/>
          <w:b/>
          <w:bCs/>
          <w:sz w:val="32"/>
          <w:szCs w:val="36"/>
        </w:rPr>
        <w:t>十三、国有资产占用情况说明</w:t>
      </w:r>
    </w:p>
    <w:p w14:paraId="536758EF">
      <w:pPr>
        <w:pStyle w:val="8"/>
        <w:spacing w:after="0" w:line="560" w:lineRule="exact"/>
        <w:ind w:firstLine="640" w:firstLineChars="200"/>
        <w:rPr>
          <w:rFonts w:eastAsia="仿宋_GB2312" w:cs="仿宋"/>
          <w:sz w:val="32"/>
          <w:szCs w:val="32"/>
        </w:rPr>
      </w:pPr>
      <w:r>
        <w:rPr>
          <w:rFonts w:ascii="仿宋" w:hAnsi="仿宋" w:eastAsia="仿宋"/>
          <w:sz w:val="32"/>
        </w:rPr>
        <w:t>巴彦淖尔市蒙医医院截至2025年</w:t>
      </w:r>
      <w:r>
        <w:rPr>
          <w:rFonts w:ascii="仿宋" w:hAnsi="仿宋" w:eastAsia="仿宋"/>
          <w:sz w:val="32"/>
          <w:u w:val="single"/>
        </w:rPr>
        <w:t>12</w:t>
      </w:r>
      <w:r>
        <w:rPr>
          <w:rFonts w:ascii="仿宋" w:hAnsi="仿宋" w:eastAsia="仿宋"/>
          <w:sz w:val="32"/>
        </w:rPr>
        <w:t>月</w:t>
      </w:r>
      <w:r>
        <w:rPr>
          <w:rFonts w:ascii="仿宋" w:hAnsi="仿宋" w:eastAsia="仿宋"/>
          <w:sz w:val="32"/>
          <w:u w:val="single"/>
        </w:rPr>
        <w:t>31</w:t>
      </w:r>
      <w:r>
        <w:rPr>
          <w:rFonts w:ascii="仿宋" w:hAnsi="仿宋" w:eastAsia="仿宋"/>
          <w:sz w:val="32"/>
        </w:rPr>
        <w:t>日，本单位</w:t>
      </w:r>
      <w:r>
        <w:rPr>
          <w:rFonts w:eastAsia="仿宋_GB2312"/>
          <w:sz w:val="32"/>
        </w:rPr>
        <w:t>共有车辆</w:t>
      </w:r>
      <w:r>
        <w:rPr>
          <w:rFonts w:eastAsia="仿宋_GB2312"/>
          <w:sz w:val="32"/>
          <w:u w:val="single"/>
        </w:rPr>
        <w:t>4</w:t>
      </w:r>
      <w:r>
        <w:rPr>
          <w:rFonts w:eastAsia="仿宋_GB2312"/>
          <w:sz w:val="32"/>
        </w:rPr>
        <w:t>辆，其中：副部（省）级及以上领导用车</w:t>
      </w:r>
      <w:r>
        <w:rPr>
          <w:rFonts w:eastAsia="仿宋_GB2312"/>
          <w:sz w:val="32"/>
          <w:u w:val="single"/>
        </w:rPr>
        <w:t>0</w:t>
      </w:r>
      <w:r>
        <w:rPr>
          <w:rFonts w:eastAsia="仿宋_GB2312"/>
          <w:sz w:val="32"/>
        </w:rPr>
        <w:t>辆、主要领导干部用车</w:t>
      </w:r>
      <w:r>
        <w:rPr>
          <w:rFonts w:eastAsia="仿宋_GB2312"/>
          <w:sz w:val="32"/>
          <w:u w:val="single"/>
        </w:rPr>
        <w:t>0</w:t>
      </w:r>
      <w:r>
        <w:rPr>
          <w:rFonts w:eastAsia="仿宋_GB2312"/>
          <w:sz w:val="32"/>
        </w:rPr>
        <w:t>辆、机要通信用车</w:t>
      </w:r>
      <w:r>
        <w:rPr>
          <w:rFonts w:eastAsia="仿宋_GB2312"/>
          <w:sz w:val="32"/>
          <w:u w:val="single"/>
        </w:rPr>
        <w:t>0</w:t>
      </w:r>
      <w:r>
        <w:rPr>
          <w:rFonts w:eastAsia="仿宋_GB2312"/>
          <w:sz w:val="32"/>
        </w:rPr>
        <w:t>辆、应急保障用车</w:t>
      </w:r>
      <w:r>
        <w:rPr>
          <w:rFonts w:eastAsia="仿宋_GB2312"/>
          <w:sz w:val="32"/>
          <w:u w:val="single"/>
        </w:rPr>
        <w:t>0</w:t>
      </w:r>
      <w:r>
        <w:rPr>
          <w:rFonts w:eastAsia="仿宋_GB2312"/>
          <w:sz w:val="32"/>
        </w:rPr>
        <w:t>辆、执法执勤用车</w:t>
      </w:r>
      <w:r>
        <w:rPr>
          <w:rFonts w:eastAsia="仿宋_GB2312"/>
          <w:sz w:val="32"/>
          <w:u w:val="single"/>
        </w:rPr>
        <w:t>0</w:t>
      </w:r>
      <w:r>
        <w:rPr>
          <w:rFonts w:eastAsia="仿宋_GB2312"/>
          <w:sz w:val="32"/>
        </w:rPr>
        <w:t>辆、特种专业技术用车</w:t>
      </w:r>
      <w:r>
        <w:rPr>
          <w:rFonts w:eastAsia="仿宋_GB2312"/>
          <w:sz w:val="32"/>
          <w:u w:val="single"/>
        </w:rPr>
        <w:t>2</w:t>
      </w:r>
      <w:r>
        <w:rPr>
          <w:rFonts w:eastAsia="仿宋_GB2312"/>
          <w:sz w:val="32"/>
        </w:rPr>
        <w:t>辆、离退休干部用车</w:t>
      </w:r>
      <w:r>
        <w:rPr>
          <w:rFonts w:eastAsia="仿宋_GB2312"/>
          <w:sz w:val="32"/>
          <w:u w:val="single"/>
        </w:rPr>
        <w:t>0</w:t>
      </w:r>
      <w:r>
        <w:rPr>
          <w:rFonts w:eastAsia="仿宋_GB2312"/>
          <w:sz w:val="32"/>
        </w:rPr>
        <w:t>辆、其他用车</w:t>
      </w:r>
      <w:r>
        <w:rPr>
          <w:rFonts w:eastAsia="仿宋_GB2312"/>
          <w:sz w:val="32"/>
          <w:u w:val="single"/>
        </w:rPr>
        <w:t>2</w:t>
      </w:r>
      <w:r>
        <w:rPr>
          <w:rFonts w:eastAsia="仿宋_GB2312"/>
          <w:sz w:val="32"/>
        </w:rPr>
        <w:t>辆；单价</w:t>
      </w:r>
      <w:r>
        <w:rPr>
          <w:rFonts w:eastAsia="仿宋_GB2312"/>
          <w:sz w:val="32"/>
          <w:u w:val="single"/>
        </w:rPr>
        <w:t>100</w:t>
      </w:r>
      <w:r>
        <w:rPr>
          <w:rFonts w:eastAsia="仿宋_GB2312"/>
          <w:sz w:val="32"/>
        </w:rPr>
        <w:t>万元（含）以上的设备（不含车辆）</w:t>
      </w:r>
      <w:r>
        <w:rPr>
          <w:rFonts w:eastAsia="仿宋_GB2312"/>
          <w:sz w:val="32"/>
          <w:u w:val="single"/>
        </w:rPr>
        <w:t>5</w:t>
      </w:r>
      <w:r>
        <w:rPr>
          <w:rFonts w:eastAsia="仿宋_GB2312"/>
          <w:sz w:val="32"/>
        </w:rPr>
        <w:t>台（套）。</w:t>
      </w:r>
    </w:p>
    <w:p w14:paraId="4EDCD7D1">
      <w:pPr>
        <w:spacing w:line="600" w:lineRule="exact"/>
        <w:ind w:firstLine="643" w:firstLineChars="200"/>
        <w:outlineLvl w:val="2"/>
        <w:rPr>
          <w:rFonts w:eastAsia="黑体" w:cs="黑体"/>
          <w:b/>
          <w:bCs/>
          <w:sz w:val="32"/>
          <w:szCs w:val="36"/>
        </w:rPr>
      </w:pPr>
      <w:r>
        <w:rPr>
          <w:rFonts w:hint="eastAsia" w:eastAsia="黑体" w:cs="黑体"/>
          <w:b/>
          <w:bCs/>
          <w:sz w:val="32"/>
          <w:szCs w:val="36"/>
        </w:rPr>
        <w:t>十四、预算绩效情况说明</w:t>
      </w:r>
    </w:p>
    <w:p w14:paraId="2B138D6A">
      <w:pPr>
        <w:ind w:firstLine="643" w:firstLineChars="200"/>
        <w:rPr>
          <w:rFonts w:ascii="楷体" w:hAnsi="楷体" w:eastAsia="楷体" w:cs="楷体"/>
          <w:b/>
          <w:bCs/>
          <w:sz w:val="32"/>
          <w:szCs w:val="32"/>
        </w:rPr>
      </w:pPr>
      <w:r>
        <w:rPr>
          <w:rFonts w:hint="eastAsia" w:ascii="楷体" w:hAnsi="楷体" w:eastAsia="楷体" w:cs="楷体"/>
          <w:b/>
          <w:bCs/>
          <w:sz w:val="32"/>
          <w:szCs w:val="32"/>
        </w:rPr>
        <w:t>（一）预算绩效管理工作开展情况。</w:t>
      </w:r>
    </w:p>
    <w:p w14:paraId="5901AECD">
      <w:pPr>
        <w:pStyle w:val="8"/>
        <w:spacing w:after="0" w:line="560" w:lineRule="exact"/>
        <w:ind w:firstLine="640" w:firstLineChars="200"/>
        <w:rPr>
          <w:rFonts w:hint="eastAsia" w:eastAsia="仿宋_GB2312" w:cs="仿宋"/>
          <w:sz w:val="32"/>
          <w:szCs w:val="32"/>
        </w:rPr>
      </w:pPr>
      <w:r>
        <w:rPr>
          <w:rFonts w:hint="eastAsia" w:ascii="仿宋" w:hAnsi="仿宋" w:eastAsia="仿宋" w:cs="宋体"/>
          <w:sz w:val="32"/>
        </w:rPr>
        <w:t>巴彦淖尔</w:t>
      </w:r>
      <w:r>
        <w:rPr>
          <w:rFonts w:hint="eastAsia" w:ascii="仿宋" w:hAnsi="仿宋" w:eastAsia="仿宋" w:cs="___WRD_EMBED_SUB_39"/>
          <w:sz w:val="32"/>
        </w:rPr>
        <w:t>市蒙医医院根据预算绩效管理要求组织对</w:t>
      </w:r>
      <w:r>
        <w:rPr>
          <w:rFonts w:eastAsia="仿宋_GB2312"/>
          <w:sz w:val="32"/>
        </w:rPr>
        <w:t>2025年一般公共预算项目支出全面开展绩效自评，其中一级项目</w:t>
      </w:r>
      <w:r>
        <w:rPr>
          <w:rFonts w:hint="eastAsia" w:eastAsia="仿宋_GB2312"/>
          <w:sz w:val="32"/>
          <w:u w:val="single"/>
        </w:rPr>
        <w:t>11</w:t>
      </w:r>
      <w:r>
        <w:rPr>
          <w:rFonts w:eastAsia="仿宋_GB2312"/>
          <w:sz w:val="32"/>
        </w:rPr>
        <w:t>个，二级项目</w:t>
      </w:r>
      <w:r>
        <w:rPr>
          <w:rFonts w:hint="eastAsia" w:eastAsia="仿宋_GB2312"/>
          <w:sz w:val="32"/>
          <w:u w:val="single"/>
        </w:rPr>
        <w:t>0</w:t>
      </w:r>
      <w:r>
        <w:rPr>
          <w:rFonts w:eastAsia="仿宋_GB2312"/>
          <w:sz w:val="32"/>
        </w:rPr>
        <w:t>个，共涉及资金</w:t>
      </w:r>
      <w:r>
        <w:rPr>
          <w:rFonts w:eastAsia="仿宋_GB2312"/>
          <w:sz w:val="32"/>
          <w:u w:val="single"/>
        </w:rPr>
        <w:t>3268.36</w:t>
      </w:r>
      <w:r>
        <w:rPr>
          <w:rFonts w:eastAsia="仿宋_GB2312"/>
          <w:sz w:val="32"/>
        </w:rPr>
        <w:t>万元，占一般公共预算项目支出总额的</w:t>
      </w:r>
      <w:r>
        <w:rPr>
          <w:rFonts w:eastAsia="仿宋_GB2312"/>
          <w:sz w:val="32"/>
          <w:u w:val="single"/>
        </w:rPr>
        <w:t>100%</w:t>
      </w:r>
      <w:r>
        <w:rPr>
          <w:rFonts w:eastAsia="仿宋_GB2312"/>
          <w:sz w:val="32"/>
        </w:rPr>
        <w:t>；无政府性基金预算项目、国有资本经营预算项目。</w:t>
      </w:r>
    </w:p>
    <w:p w14:paraId="249BB9A9">
      <w:pPr>
        <w:ind w:firstLine="643" w:firstLineChars="200"/>
        <w:rPr>
          <w:rFonts w:ascii="楷体" w:hAnsi="楷体" w:eastAsia="楷体" w:cs="楷体"/>
          <w:b/>
          <w:bCs/>
          <w:sz w:val="32"/>
          <w:szCs w:val="32"/>
        </w:rPr>
      </w:pPr>
      <w:r>
        <w:rPr>
          <w:rFonts w:hint="eastAsia" w:ascii="楷体" w:hAnsi="楷体" w:eastAsia="楷体" w:cs="楷体"/>
          <w:b/>
          <w:bCs/>
          <w:sz w:val="32"/>
          <w:szCs w:val="32"/>
        </w:rPr>
        <w:t>（二）单位决算中项目绩效自评结果。</w:t>
      </w:r>
    </w:p>
    <w:p w14:paraId="50DD0238">
      <w:pPr>
        <w:pStyle w:val="8"/>
        <w:spacing w:after="0" w:line="560" w:lineRule="exact"/>
        <w:ind w:firstLine="640" w:firstLineChars="200"/>
        <w:rPr>
          <w:rFonts w:ascii="仿宋" w:hAnsi="仿宋" w:eastAsia="仿宋" w:cs="仿宋"/>
          <w:sz w:val="32"/>
          <w:szCs w:val="32"/>
        </w:rPr>
      </w:pPr>
      <w:r>
        <w:rPr>
          <w:rFonts w:ascii="仿宋" w:hAnsi="仿宋" w:eastAsia="仿宋"/>
          <w:sz w:val="32"/>
        </w:rPr>
        <w:t>巴彦淖尔市蒙医医院2025年度在决算中反映</w:t>
      </w:r>
      <w:r>
        <w:rPr>
          <w:rFonts w:hint="eastAsia" w:ascii="仿宋" w:hAnsi="仿宋" w:eastAsia="仿宋"/>
          <w:sz w:val="32"/>
          <w:u w:val="single"/>
        </w:rPr>
        <w:t>11</w:t>
      </w:r>
      <w:r>
        <w:rPr>
          <w:rFonts w:ascii="仿宋" w:hAnsi="仿宋" w:eastAsia="仿宋"/>
          <w:sz w:val="32"/>
        </w:rPr>
        <w:t>个一般公共预算项目的绩效自评结果，无政府性基金项目、国有资本经营预算项目。</w:t>
      </w:r>
    </w:p>
    <w:p w14:paraId="71698B6C">
      <w:pPr>
        <w:pStyle w:val="8"/>
        <w:spacing w:after="0" w:line="560" w:lineRule="exact"/>
        <w:ind w:firstLine="640" w:firstLineChars="200"/>
        <w:rPr>
          <w:rFonts w:ascii="仿宋" w:hAnsi="仿宋" w:eastAsia="仿宋" w:cs="仿宋"/>
          <w:sz w:val="32"/>
          <w:szCs w:val="32"/>
        </w:rPr>
      </w:pPr>
      <w:r>
        <w:rPr>
          <w:rFonts w:ascii="仿宋" w:hAnsi="仿宋" w:eastAsia="仿宋"/>
          <w:sz w:val="32"/>
        </w:rPr>
        <w:t>各项目自评综述、自评得分、全年预算数及执行数等情况待单位绩效自评工作完成后补充填列，项目支出绩效自评表随决算一并公开。</w:t>
      </w:r>
      <w:r>
        <w:rPr>
          <w:rFonts w:ascii="仿宋" w:hAnsi="仿宋" w:eastAsia="仿宋"/>
          <w:sz w:val="32"/>
          <w:u w:val="single"/>
        </w:rPr>
        <w:t>1</w:t>
      </w:r>
      <w:r>
        <w:rPr>
          <w:rFonts w:ascii="仿宋" w:hAnsi="仿宋" w:eastAsia="仿宋"/>
          <w:sz w:val="32"/>
        </w:rPr>
        <w:t xml:space="preserve">. </w:t>
      </w:r>
      <w:r>
        <w:rPr>
          <w:rFonts w:hint="eastAsia" w:ascii="仿宋" w:hAnsi="仿宋" w:eastAsia="仿宋"/>
          <w:sz w:val="32"/>
        </w:rPr>
        <w:t>市</w:t>
      </w:r>
      <w:r>
        <w:rPr>
          <w:rFonts w:hint="eastAsia" w:ascii="仿宋" w:hAnsi="仿宋" w:eastAsia="仿宋" w:cs="宋体"/>
          <w:sz w:val="32"/>
        </w:rPr>
        <w:t>直</w:t>
      </w:r>
      <w:r>
        <w:rPr>
          <w:rFonts w:hint="eastAsia" w:ascii="仿宋" w:hAnsi="仿宋" w:eastAsia="仿宋" w:cs="___WRD_EMBED_SUB_39"/>
          <w:sz w:val="32"/>
        </w:rPr>
        <w:t>公立医院取</w:t>
      </w:r>
      <w:r>
        <w:rPr>
          <w:rFonts w:hint="eastAsia" w:ascii="仿宋" w:hAnsi="仿宋" w:eastAsia="仿宋" w:cs="宋体"/>
          <w:sz w:val="32"/>
        </w:rPr>
        <w:t>消药</w:t>
      </w:r>
      <w:r>
        <w:rPr>
          <w:rFonts w:hint="eastAsia" w:ascii="仿宋" w:hAnsi="仿宋" w:eastAsia="仿宋" w:cs="___WRD_EMBED_SUB_39"/>
          <w:sz w:val="32"/>
        </w:rPr>
        <w:t>品加成项目自评综述：根据年初设定的绩效目标，项目自评得分</w:t>
      </w:r>
      <w:r>
        <w:rPr>
          <w:rFonts w:hint="eastAsia" w:ascii="仿宋" w:hAnsi="仿宋" w:eastAsia="仿宋"/>
          <w:sz w:val="32"/>
          <w:u w:val="single"/>
        </w:rPr>
        <w:t>95</w:t>
      </w:r>
      <w:r>
        <w:rPr>
          <w:rFonts w:hint="eastAsia" w:ascii="仿宋" w:hAnsi="仿宋" w:eastAsia="仿宋"/>
          <w:sz w:val="32"/>
        </w:rPr>
        <w:t>分。全年预算数为</w:t>
      </w:r>
      <w:r>
        <w:rPr>
          <w:rFonts w:ascii="仿宋" w:hAnsi="仿宋" w:eastAsia="仿宋"/>
          <w:sz w:val="32"/>
          <w:u w:val="single"/>
        </w:rPr>
        <w:t>0</w:t>
      </w:r>
      <w:r>
        <w:rPr>
          <w:rFonts w:hint="eastAsia" w:ascii="仿宋" w:hAnsi="仿宋" w:eastAsia="仿宋"/>
          <w:sz w:val="32"/>
        </w:rPr>
        <w:t>万元，执行数为</w:t>
      </w:r>
      <w:r>
        <w:rPr>
          <w:rFonts w:hint="eastAsia" w:ascii="仿宋" w:hAnsi="仿宋" w:eastAsia="仿宋"/>
          <w:sz w:val="32"/>
          <w:u w:val="single"/>
        </w:rPr>
        <w:t>32.88</w:t>
      </w:r>
      <w:r>
        <w:rPr>
          <w:rFonts w:hint="eastAsia" w:ascii="仿宋" w:hAnsi="仿宋" w:eastAsia="仿宋"/>
          <w:sz w:val="32"/>
        </w:rPr>
        <w:t>万元。项目绩效目标完成情况：建立</w:t>
      </w:r>
      <w:r>
        <w:rPr>
          <w:rFonts w:hint="eastAsia" w:ascii="仿宋" w:hAnsi="仿宋" w:eastAsia="仿宋" w:cs="宋体"/>
          <w:sz w:val="32"/>
        </w:rPr>
        <w:t>健</w:t>
      </w:r>
      <w:r>
        <w:rPr>
          <w:rFonts w:hint="eastAsia" w:ascii="仿宋" w:hAnsi="仿宋" w:eastAsia="仿宋" w:cs="___WRD_EMBED_SUB_39"/>
          <w:sz w:val="32"/>
        </w:rPr>
        <w:t>全了公立医院绩效评价机</w:t>
      </w:r>
      <w:r>
        <w:rPr>
          <w:rFonts w:hint="eastAsia" w:ascii="仿宋" w:hAnsi="仿宋" w:eastAsia="仿宋" w:cs="宋体"/>
          <w:sz w:val="32"/>
        </w:rPr>
        <w:t>制</w:t>
      </w:r>
      <w:r>
        <w:rPr>
          <w:rFonts w:hint="eastAsia" w:ascii="仿宋" w:hAnsi="仿宋" w:eastAsia="仿宋" w:cs="___WRD_EMBED_SUB_39"/>
          <w:sz w:val="32"/>
        </w:rPr>
        <w:t>，公立医院取</w:t>
      </w:r>
      <w:r>
        <w:rPr>
          <w:rFonts w:hint="eastAsia" w:ascii="仿宋" w:hAnsi="仿宋" w:eastAsia="仿宋" w:cs="宋体"/>
          <w:sz w:val="32"/>
        </w:rPr>
        <w:t>消药</w:t>
      </w:r>
      <w:r>
        <w:rPr>
          <w:rFonts w:hint="eastAsia" w:ascii="仿宋" w:hAnsi="仿宋" w:eastAsia="仿宋" w:cs="___WRD_EMBED_SUB_39"/>
          <w:sz w:val="32"/>
        </w:rPr>
        <w:t>品加成，维护了公立医院的公益性、调动积</w:t>
      </w:r>
      <w:r>
        <w:rPr>
          <w:rFonts w:hint="eastAsia" w:ascii="仿宋" w:hAnsi="仿宋" w:eastAsia="仿宋" w:cs="宋体"/>
          <w:sz w:val="32"/>
        </w:rPr>
        <w:t>极</w:t>
      </w:r>
      <w:r>
        <w:rPr>
          <w:rFonts w:hint="eastAsia" w:ascii="仿宋" w:hAnsi="仿宋" w:eastAsia="仿宋" w:cs="___WRD_EMBED_SUB_39"/>
          <w:sz w:val="32"/>
        </w:rPr>
        <w:t>性、保障可持续，</w:t>
      </w:r>
      <w:r>
        <w:rPr>
          <w:rFonts w:hint="eastAsia" w:ascii="仿宋" w:hAnsi="仿宋" w:eastAsia="仿宋" w:cs="宋体"/>
          <w:sz w:val="32"/>
        </w:rPr>
        <w:t>向群众</w:t>
      </w:r>
      <w:r>
        <w:rPr>
          <w:rFonts w:hint="eastAsia" w:ascii="仿宋" w:hAnsi="仿宋" w:eastAsia="仿宋" w:cs="___WRD_EMBED_SUB_39"/>
          <w:sz w:val="32"/>
        </w:rPr>
        <w:t>提供安全、有效、方</w:t>
      </w:r>
      <w:r>
        <w:rPr>
          <w:rFonts w:hint="eastAsia" w:ascii="仿宋" w:hAnsi="仿宋" w:eastAsia="仿宋" w:cs="宋体"/>
          <w:sz w:val="32"/>
        </w:rPr>
        <w:t>便</w:t>
      </w:r>
      <w:r>
        <w:rPr>
          <w:rFonts w:hint="eastAsia" w:ascii="仿宋" w:hAnsi="仿宋" w:eastAsia="仿宋" w:cs="___WRD_EMBED_SUB_39"/>
          <w:sz w:val="32"/>
        </w:rPr>
        <w:t>、价</w:t>
      </w:r>
      <w:r>
        <w:rPr>
          <w:rFonts w:hint="eastAsia" w:ascii="仿宋" w:hAnsi="仿宋" w:eastAsia="仿宋" w:cs="宋体"/>
          <w:sz w:val="32"/>
        </w:rPr>
        <w:t>廉</w:t>
      </w:r>
      <w:r>
        <w:rPr>
          <w:rFonts w:hint="eastAsia" w:ascii="仿宋" w:hAnsi="仿宋" w:eastAsia="仿宋" w:cs="___WRD_EMBED_SUB_39"/>
          <w:sz w:val="32"/>
        </w:rPr>
        <w:t>的</w:t>
      </w:r>
      <w:r>
        <w:rPr>
          <w:rFonts w:ascii="仿宋" w:hAnsi="仿宋" w:eastAsia="仿宋"/>
          <w:sz w:val="32"/>
        </w:rPr>
        <w:t xml:space="preserve"> </w:t>
      </w:r>
      <w:r>
        <w:rPr>
          <w:rFonts w:hint="eastAsia" w:ascii="仿宋" w:hAnsi="仿宋" w:eastAsia="仿宋"/>
          <w:sz w:val="32"/>
        </w:rPr>
        <w:t>医疗</w:t>
      </w:r>
      <w:r>
        <w:rPr>
          <w:rFonts w:hint="eastAsia" w:ascii="仿宋" w:hAnsi="仿宋" w:eastAsia="仿宋" w:cs="宋体"/>
          <w:sz w:val="32"/>
        </w:rPr>
        <w:t>卫</w:t>
      </w:r>
      <w:r>
        <w:rPr>
          <w:rFonts w:hint="eastAsia" w:ascii="仿宋" w:hAnsi="仿宋" w:eastAsia="仿宋" w:cs="___WRD_EMBED_SUB_39"/>
          <w:sz w:val="32"/>
        </w:rPr>
        <w:t>生服务。下一步改进措施：在第三方机构指导下进一步完</w:t>
      </w:r>
      <w:r>
        <w:rPr>
          <w:rFonts w:hint="eastAsia" w:ascii="仿宋" w:hAnsi="仿宋" w:eastAsia="仿宋" w:cs="宋体"/>
          <w:sz w:val="32"/>
        </w:rPr>
        <w:t>善</w:t>
      </w:r>
      <w:r>
        <w:rPr>
          <w:rFonts w:hint="eastAsia" w:ascii="仿宋" w:hAnsi="仿宋" w:eastAsia="仿宋" w:cs="___WRD_EMBED_SUB_39"/>
          <w:sz w:val="32"/>
        </w:rPr>
        <w:t>目标。</w:t>
      </w:r>
    </w:p>
    <w:p w14:paraId="4EDD1394">
      <w:pPr>
        <w:ind w:firstLine="643" w:firstLineChars="200"/>
        <w:rPr>
          <w:rFonts w:ascii="楷体" w:hAnsi="楷体" w:eastAsia="楷体" w:cs="楷体"/>
          <w:b/>
          <w:bCs/>
          <w:sz w:val="32"/>
          <w:szCs w:val="32"/>
        </w:rPr>
      </w:pPr>
      <w:r>
        <w:rPr>
          <w:rFonts w:hint="eastAsia" w:ascii="楷体" w:hAnsi="楷体" w:eastAsia="楷体" w:cs="楷体"/>
          <w:b/>
          <w:bCs/>
          <w:sz w:val="32"/>
          <w:szCs w:val="32"/>
        </w:rPr>
        <w:t>（三）单位项目绩效评价结果。</w:t>
      </w:r>
    </w:p>
    <w:p w14:paraId="1331853E">
      <w:pPr>
        <w:spacing w:before="34" w:line="252" w:lineRule="auto"/>
        <w:ind w:left="8" w:right="102" w:firstLine="669"/>
        <w:rPr>
          <w:rFonts w:ascii="仿宋" w:hAnsi="仿宋" w:eastAsia="仿宋" w:cs="方正仿宋_GB2312"/>
          <w:sz w:val="32"/>
          <w:szCs w:val="32"/>
        </w:rPr>
      </w:pPr>
      <w:r>
        <w:rPr>
          <w:rFonts w:ascii="仿宋" w:hAnsi="仿宋" w:eastAsia="仿宋" w:cs="方正仿宋_GB2312"/>
          <w:spacing w:val="5"/>
          <w:sz w:val="32"/>
          <w:szCs w:val="32"/>
        </w:rPr>
        <w:t>以市直公立医院取消药品加成项目为例</w:t>
      </w:r>
      <w:r>
        <w:rPr>
          <w:rFonts w:ascii="仿宋" w:hAnsi="仿宋" w:eastAsia="仿宋" w:cs="方正仿宋_GB2312"/>
          <w:spacing w:val="-73"/>
          <w:sz w:val="32"/>
          <w:szCs w:val="32"/>
        </w:rPr>
        <w:t xml:space="preserve"> </w:t>
      </w:r>
      <w:r>
        <w:rPr>
          <w:rFonts w:ascii="仿宋" w:hAnsi="仿宋" w:eastAsia="仿宋" w:cs="方正仿宋_GB2312"/>
          <w:spacing w:val="5"/>
          <w:sz w:val="32"/>
          <w:szCs w:val="32"/>
        </w:rPr>
        <w:t>，该项目绩效评价</w:t>
      </w:r>
      <w:r>
        <w:rPr>
          <w:rFonts w:ascii="仿宋" w:hAnsi="仿宋" w:eastAsia="仿宋" w:cs="方正仿宋_GB2312"/>
          <w:spacing w:val="7"/>
          <w:sz w:val="32"/>
          <w:szCs w:val="32"/>
        </w:rPr>
        <w:t>综合得分为</w:t>
      </w:r>
      <w:r>
        <w:rPr>
          <w:rFonts w:hint="eastAsia" w:ascii="仿宋" w:hAnsi="仿宋" w:eastAsia="仿宋" w:cs="方正仿宋_GB2312"/>
          <w:spacing w:val="7"/>
          <w:sz w:val="32"/>
          <w:szCs w:val="32"/>
          <w:u w:val="single"/>
        </w:rPr>
        <w:t>95</w:t>
      </w:r>
      <w:r>
        <w:rPr>
          <w:rFonts w:ascii="仿宋" w:hAnsi="仿宋" w:eastAsia="仿宋" w:cs="方正仿宋_GB2312"/>
          <w:spacing w:val="7"/>
          <w:sz w:val="32"/>
          <w:szCs w:val="32"/>
        </w:rPr>
        <w:t>分，绩效评价结果为</w:t>
      </w:r>
      <w:r>
        <w:rPr>
          <w:rFonts w:hint="eastAsia" w:ascii="仿宋" w:hAnsi="仿宋" w:eastAsia="仿宋" w:cs="方正仿宋_GB2312"/>
          <w:spacing w:val="7"/>
          <w:sz w:val="32"/>
          <w:szCs w:val="32"/>
        </w:rPr>
        <w:t>优</w:t>
      </w:r>
      <w:r>
        <w:rPr>
          <w:rFonts w:ascii="仿宋" w:hAnsi="仿宋" w:eastAsia="仿宋" w:cs="方正仿宋_GB2312"/>
          <w:spacing w:val="7"/>
          <w:sz w:val="32"/>
          <w:szCs w:val="32"/>
        </w:rPr>
        <w:t>。</w:t>
      </w:r>
    </w:p>
    <w:p w14:paraId="20088CC0">
      <w:pPr>
        <w:pStyle w:val="8"/>
        <w:spacing w:after="0" w:line="560" w:lineRule="exact"/>
        <w:ind w:firstLine="640" w:firstLineChars="200"/>
        <w:rPr>
          <w:rFonts w:eastAsia="仿宋_GB2312" w:cs="仿宋"/>
          <w:sz w:val="32"/>
          <w:szCs w:val="32"/>
        </w:rPr>
      </w:pPr>
    </w:p>
    <w:p w14:paraId="0F0C642B">
      <w:pPr>
        <w:pStyle w:val="3"/>
        <w:tabs>
          <w:tab w:val="left" w:pos="4392"/>
        </w:tabs>
        <w:adjustRightInd/>
        <w:snapToGrid/>
        <w:spacing w:before="0" w:after="0" w:line="360" w:lineRule="auto"/>
        <w:ind w:firstLine="0" w:firstLineChars="0"/>
        <w:jc w:val="center"/>
        <w:rPr>
          <w:rFonts w:ascii="方正小标宋简体" w:hAnsi="方正小标宋简体" w:eastAsia="方正小标宋简体" w:cs="方正小标宋简体"/>
          <w:b w:val="0"/>
          <w:bCs w:val="0"/>
          <w:sz w:val="36"/>
          <w:szCs w:val="36"/>
        </w:rPr>
      </w:pPr>
      <w:bookmarkStart w:id="2" w:name="_Toc8682"/>
      <w:r>
        <w:rPr>
          <w:rFonts w:hint="eastAsia" w:ascii="方正小标宋简体" w:hAnsi="方正小标宋简体" w:eastAsia="方正小标宋简体" w:cs="方正小标宋简体"/>
          <w:b w:val="0"/>
          <w:bCs w:val="0"/>
          <w:sz w:val="36"/>
          <w:szCs w:val="36"/>
        </w:rPr>
        <w:t>第三部分  名词解释</w:t>
      </w:r>
      <w:bookmarkEnd w:id="2"/>
    </w:p>
    <w:p w14:paraId="0B690865">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一、财政拨款收入：</w:t>
      </w:r>
      <w:r>
        <w:rPr>
          <w:rFonts w:hint="eastAsia" w:eastAsia="仿宋_GB2312" w:cs="仿宋"/>
          <w:sz w:val="32"/>
          <w:szCs w:val="32"/>
        </w:rPr>
        <w:t>从同级财政部门取得的各类财政拨款，包括一般公共预算财政拨款、政府性基金预算财政拨款、国有资本经营预算财政拨款。</w:t>
      </w:r>
    </w:p>
    <w:p w14:paraId="52672D40">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二、上级补助收入：</w:t>
      </w:r>
      <w:r>
        <w:rPr>
          <w:rFonts w:hint="eastAsia" w:eastAsia="仿宋_GB2312" w:cs="仿宋"/>
          <w:sz w:val="32"/>
          <w:szCs w:val="32"/>
        </w:rPr>
        <w:t>指事业单位从主管部门和上级单位取得的非财政补助收入。</w:t>
      </w:r>
    </w:p>
    <w:p w14:paraId="21F010B0">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三、财政专户管理教育收费：</w:t>
      </w:r>
      <w:r>
        <w:rPr>
          <w:rFonts w:hint="eastAsia" w:eastAsia="仿宋_GB2312" w:cs="仿宋"/>
          <w:sz w:val="32"/>
          <w:szCs w:val="32"/>
        </w:rPr>
        <w:t>指缴入财政专户、实行专项管理的高中以上学费、住宿费、高校委托培养费、函大、电大、夜大及短训班培训费等教育收费。</w:t>
      </w:r>
    </w:p>
    <w:p w14:paraId="6B6F4C6F">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四、事业收入：</w:t>
      </w:r>
      <w:r>
        <w:rPr>
          <w:rFonts w:hint="eastAsia" w:eastAsia="仿宋_GB2312" w:cs="仿宋"/>
          <w:sz w:val="32"/>
          <w:szCs w:val="32"/>
        </w:rPr>
        <w:t>指事业单位开展专业业务活动及其辅助活动取得的收入。</w:t>
      </w:r>
    </w:p>
    <w:p w14:paraId="2DE76248">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五、经营收入：</w:t>
      </w:r>
      <w:r>
        <w:rPr>
          <w:rFonts w:hint="eastAsia" w:eastAsia="仿宋_GB2312" w:cs="仿宋"/>
          <w:sz w:val="32"/>
          <w:szCs w:val="32"/>
        </w:rPr>
        <w:t>指事业单位在专业业务活动及其辅助活动之外开展非独立核算经营活动取得的收入。</w:t>
      </w:r>
    </w:p>
    <w:p w14:paraId="4CE01776">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六、附属单位上缴收入：</w:t>
      </w:r>
      <w:r>
        <w:rPr>
          <w:rFonts w:hint="eastAsia" w:eastAsia="仿宋_GB2312" w:cs="仿宋"/>
          <w:sz w:val="32"/>
          <w:szCs w:val="32"/>
        </w:rPr>
        <w:t>指事业单位附属独立核算单位按照有关规定上缴的收入。</w:t>
      </w:r>
    </w:p>
    <w:p w14:paraId="0D3CDB7E">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七、其他收入：</w:t>
      </w:r>
      <w:r>
        <w:rPr>
          <w:rFonts w:hint="eastAsia" w:eastAsia="仿宋_GB2312" w:cs="仿宋"/>
          <w:sz w:val="32"/>
          <w:szCs w:val="32"/>
        </w:rPr>
        <w:t>取得的除上述“财政拨款收入”、“上级补助收入”、“事业收入”、“经营收入”、“附属单位上缴收入”等以外的各项收入。</w:t>
      </w:r>
    </w:p>
    <w:p w14:paraId="749A5F2B">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八、使用非财政拨款结余：</w:t>
      </w:r>
      <w:r>
        <w:rPr>
          <w:rFonts w:hint="eastAsia" w:eastAsia="仿宋_GB2312" w:cs="仿宋"/>
          <w:sz w:val="32"/>
          <w:szCs w:val="32"/>
        </w:rPr>
        <w:t>指事业单位按照预算管理要求使用非财政拨款结余弥补当年收支差额的数额。</w:t>
      </w:r>
    </w:p>
    <w:p w14:paraId="09C1DCBA">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九、年初结转和结余：</w:t>
      </w:r>
      <w:r>
        <w:rPr>
          <w:rFonts w:hint="eastAsia" w:eastAsia="仿宋_GB2312" w:cs="仿宋"/>
          <w:sz w:val="32"/>
          <w:szCs w:val="32"/>
        </w:rPr>
        <w:t>指单位上年结转本年使用的基本支出结转、项目支出结转和结余、经营结余。</w:t>
      </w:r>
    </w:p>
    <w:p w14:paraId="2FD5973B">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十、结余分配：</w:t>
      </w:r>
      <w:r>
        <w:rPr>
          <w:rFonts w:hint="eastAsia" w:eastAsia="仿宋_GB2312" w:cs="仿宋"/>
          <w:sz w:val="32"/>
          <w:szCs w:val="32"/>
        </w:rPr>
        <w:t>指事业单位按规定缴纳的所得税以及从非财政拨款结余中提取各类结余的情况。</w:t>
      </w:r>
    </w:p>
    <w:p w14:paraId="16EE3227">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十一、年末结转和结余资金：</w:t>
      </w:r>
      <w:r>
        <w:rPr>
          <w:rFonts w:hint="eastAsia" w:eastAsia="仿宋_GB2312" w:cs="仿宋"/>
          <w:sz w:val="32"/>
          <w:szCs w:val="32"/>
        </w:rPr>
        <w:t>指单位结转下年的基本支出结转、项目支出结转和结余、经营结余。</w:t>
      </w:r>
    </w:p>
    <w:p w14:paraId="1C4336A4">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十二、基本支出：</w:t>
      </w:r>
      <w:r>
        <w:rPr>
          <w:rFonts w:hint="eastAsia" w:eastAsia="仿宋_GB2312" w:cs="仿宋"/>
          <w:sz w:val="32"/>
          <w:szCs w:val="32"/>
        </w:rPr>
        <w:t>指为保障机构正常运转、完成日常工作任务所发生的支出，包括人员经费和公用经费。</w:t>
      </w:r>
    </w:p>
    <w:p w14:paraId="2982AD56">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十三、项目支出：</w:t>
      </w:r>
      <w:r>
        <w:rPr>
          <w:rFonts w:hint="eastAsia" w:eastAsia="仿宋_GB2312" w:cs="仿宋"/>
          <w:sz w:val="32"/>
          <w:szCs w:val="32"/>
        </w:rPr>
        <w:t>指在为完成特定的工作任务和事业发展目标所发生的支出。</w:t>
      </w:r>
    </w:p>
    <w:p w14:paraId="6E5B153B">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十四、上缴上级支出：</w:t>
      </w:r>
      <w:r>
        <w:rPr>
          <w:rFonts w:hint="eastAsia" w:eastAsia="仿宋_GB2312" w:cs="仿宋"/>
          <w:sz w:val="32"/>
          <w:szCs w:val="32"/>
        </w:rPr>
        <w:t>指事业单位按照财政部门和主管部门的规定上缴上级单位的支出。</w:t>
      </w:r>
    </w:p>
    <w:p w14:paraId="113A6F92">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十五、经营支出：</w:t>
      </w:r>
      <w:r>
        <w:rPr>
          <w:rFonts w:hint="eastAsia" w:eastAsia="仿宋_GB2312" w:cs="仿宋"/>
          <w:sz w:val="32"/>
          <w:szCs w:val="32"/>
        </w:rPr>
        <w:t>指事业单位在专业业务活动及其辅助活动之外开展非独立核算经营活动发生的支出。</w:t>
      </w:r>
    </w:p>
    <w:p w14:paraId="66451D5E">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十六、对附属单位补助支出：</w:t>
      </w:r>
      <w:r>
        <w:rPr>
          <w:rFonts w:hint="eastAsia" w:eastAsia="仿宋_GB2312" w:cs="仿宋"/>
          <w:sz w:val="32"/>
          <w:szCs w:val="32"/>
        </w:rPr>
        <w:t>指事业单位用财政拨款收入之外的收入对附属单位补助发生的支出。</w:t>
      </w:r>
    </w:p>
    <w:p w14:paraId="3AA38A4D">
      <w:pPr>
        <w:pStyle w:val="8"/>
        <w:spacing w:after="0" w:line="560" w:lineRule="exact"/>
        <w:ind w:firstLine="643" w:firstLineChars="200"/>
        <w:rPr>
          <w:rFonts w:eastAsia="仿宋_GB2312" w:cs="仿宋"/>
          <w:sz w:val="32"/>
          <w:szCs w:val="32"/>
        </w:rPr>
      </w:pPr>
      <w:r>
        <w:rPr>
          <w:rFonts w:hint="eastAsia" w:eastAsia="仿宋_GB2312" w:cs="仿宋"/>
          <w:b/>
          <w:bCs/>
          <w:sz w:val="32"/>
          <w:szCs w:val="32"/>
        </w:rPr>
        <w:t>十七、“三公”经费：</w:t>
      </w:r>
      <w:r>
        <w:rPr>
          <w:rFonts w:hint="eastAsia" w:eastAsia="仿宋_GB2312" w:cs="仿宋"/>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A40C108">
      <w:pPr>
        <w:spacing w:line="560" w:lineRule="exact"/>
        <w:ind w:firstLine="643" w:firstLineChars="200"/>
        <w:rPr>
          <w:rFonts w:eastAsia="仿宋_GB2312" w:cstheme="minorBidi"/>
          <w:sz w:val="32"/>
          <w:szCs w:val="32"/>
        </w:rPr>
      </w:pPr>
      <w:r>
        <w:rPr>
          <w:rFonts w:hint="eastAsia" w:eastAsia="仿宋_GB2312" w:cs="仿宋"/>
          <w:b/>
          <w:bCs/>
          <w:sz w:val="32"/>
          <w:szCs w:val="32"/>
        </w:rPr>
        <w:t>十八、机构运行经费：</w:t>
      </w:r>
      <w:r>
        <w:rPr>
          <w:rFonts w:hint="eastAsia" w:eastAsia="仿宋_GB2312" w:cs="仿宋"/>
          <w:sz w:val="32"/>
          <w:szCs w:val="32"/>
        </w:rPr>
        <w:t>指单位</w:t>
      </w:r>
      <w:r>
        <w:rPr>
          <w:rFonts w:hint="eastAsia" w:eastAsia="仿宋_GB2312" w:cstheme="minorBidi"/>
          <w:sz w:val="32"/>
          <w:szCs w:val="32"/>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3424597C">
      <w:pPr>
        <w:pStyle w:val="18"/>
        <w:rPr>
          <w:rFonts w:hint="default"/>
        </w:rPr>
      </w:pPr>
    </w:p>
    <w:p w14:paraId="48CBC1B6">
      <w:pPr>
        <w:pStyle w:val="3"/>
        <w:tabs>
          <w:tab w:val="left" w:pos="4392"/>
        </w:tabs>
        <w:adjustRightInd/>
        <w:snapToGrid/>
        <w:spacing w:before="0" w:after="0" w:line="360" w:lineRule="auto"/>
        <w:ind w:firstLine="0" w:firstLineChars="0"/>
        <w:jc w:val="center"/>
        <w:rPr>
          <w:rFonts w:ascii="方正小标宋简体" w:hAnsi="方正小标宋简体" w:eastAsia="方正小标宋简体" w:cs="方正小标宋简体"/>
          <w:b w:val="0"/>
          <w:bCs w:val="0"/>
          <w:sz w:val="36"/>
          <w:szCs w:val="36"/>
        </w:rPr>
      </w:pPr>
      <w:bookmarkStart w:id="3" w:name="_Toc27853"/>
      <w:r>
        <w:rPr>
          <w:rFonts w:hint="eastAsia" w:ascii="方正小标宋简体" w:hAnsi="方正小标宋简体" w:eastAsia="方正小标宋简体" w:cs="方正小标宋简体"/>
          <w:b w:val="0"/>
          <w:bCs w:val="0"/>
          <w:sz w:val="36"/>
          <w:szCs w:val="36"/>
        </w:rPr>
        <w:t>第四部分 决算公开联系方式及信息反馈渠道</w:t>
      </w:r>
      <w:bookmarkEnd w:id="3"/>
    </w:p>
    <w:p w14:paraId="5C3F8B70">
      <w:pPr>
        <w:snapToGrid w:val="0"/>
        <w:spacing w:line="600" w:lineRule="exact"/>
        <w:rPr>
          <w:rFonts w:ascii="方正小标宋简体" w:hAnsi="方正小标宋简体" w:eastAsia="方正小标宋简体" w:cs="方正小标宋简体"/>
          <w:sz w:val="36"/>
          <w:szCs w:val="36"/>
        </w:rPr>
      </w:pPr>
    </w:p>
    <w:p w14:paraId="11C851E7">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本单位决算公开信息反馈和联系方式：</w:t>
      </w:r>
    </w:p>
    <w:p w14:paraId="068EADF7">
      <w:pPr>
        <w:snapToGrid w:val="0"/>
        <w:spacing w:line="600" w:lineRule="exact"/>
        <w:ind w:firstLine="640" w:firstLineChars="200"/>
        <w:rPr>
          <w:rFonts w:eastAsia="仿宋_GB2312"/>
        </w:rPr>
        <w:sectPr>
          <w:headerReference r:id="rId3" w:type="default"/>
          <w:pgSz w:w="11906" w:h="16838"/>
          <w:pgMar w:top="1440" w:right="1800" w:bottom="1440" w:left="1800"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联系人：</w:t>
      </w:r>
      <w:r>
        <w:rPr>
          <w:rFonts w:hint="eastAsia" w:ascii="宋体" w:hAnsi="宋体" w:eastAsia="宋体" w:cs="宋体"/>
          <w:sz w:val="32"/>
          <w:szCs w:val="32"/>
        </w:rPr>
        <w:t>郭欣</w:t>
      </w:r>
      <w:r>
        <w:rPr>
          <w:rFonts w:hint="eastAsia" w:ascii="仿宋_GB2312" w:hAnsi="仿宋_GB2312" w:eastAsia="仿宋_GB2312" w:cs="仿宋_GB2312"/>
          <w:sz w:val="32"/>
          <w:szCs w:val="32"/>
        </w:rPr>
        <w:t xml:space="preserve">          联系电话：</w:t>
      </w:r>
      <w:r>
        <w:rPr>
          <w:rFonts w:hint="eastAsia" w:ascii="仿宋_GB2312" w:hAnsi="仿宋_GB2312" w:eastAsia="仿宋_GB2312" w:cs="仿宋_GB2312"/>
          <w:sz w:val="32"/>
          <w:szCs w:val="32"/>
          <w:u w:val="single"/>
        </w:rPr>
        <w:t>18847175291</w:t>
      </w:r>
    </w:p>
    <w:p w14:paraId="51CF1911">
      <w:pPr>
        <w:rPr>
          <w:rFonts w:hint="eastAsia" w:eastAsiaTheme="minorEastAsia"/>
        </w:rPr>
      </w:pPr>
    </w:p>
    <w:sectPr>
      <w:pgSz w:w="11906" w:h="16838"/>
      <w:pgMar w:top="1440" w:right="850" w:bottom="1440" w:left="85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DejaVu Sans">
    <w:panose1 w:val="020B0603030804020204"/>
    <w:charset w:val="00"/>
    <w:family w:val="auto"/>
    <w:pitch w:val="default"/>
    <w:sig w:usb0="E7006EFF" w:usb1="D200FDFF" w:usb2="0A246029" w:usb3="0400200C" w:csb0="600001FF" w:csb1="DFFF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0F3C52" w:usb2="00000016" w:usb3="00000000" w:csb0="0004001F" w:csb1="00000000"/>
  </w:font>
  <w:font w:name="Helvetica">
    <w:altName w:val="Microsoft Sans Serif"/>
    <w:panose1 w:val="020B0504020202020204"/>
    <w:charset w:val="00"/>
    <w:family w:val="swiss"/>
    <w:pitch w:val="default"/>
    <w:sig w:usb0="00000000" w:usb1="00000000" w:usb2="00000000" w:usb3="00000000" w:csb0="00000001" w:csb1="00000000"/>
  </w:font>
  <w:font w:name="Microsoft Sans Serif">
    <w:panose1 w:val="020B0604020202020204"/>
    <w:charset w:val="00"/>
    <w:family w:val="auto"/>
    <w:pitch w:val="default"/>
    <w:sig w:usb0="61007BDF" w:usb1="80000000" w:usb2="00000008" w:usb3="00000000" w:csb0="200101FF" w:csb1="20280000"/>
  </w:font>
  <w:font w:name="Courier">
    <w:altName w:val="Noto Sans Mono"/>
    <w:panose1 w:val="02070409020205020404"/>
    <w:charset w:val="00"/>
    <w:family w:val="modern"/>
    <w:pitch w:val="default"/>
    <w:sig w:usb0="00000000" w:usb1="00000000" w:usb2="00000000" w:usb3="00000000" w:csb0="00000001" w:csb1="00000000"/>
  </w:font>
  <w:font w:name="Noto Sans Mono">
    <w:panose1 w:val="020B0509040504020204"/>
    <w:charset w:val="00"/>
    <w:family w:val="auto"/>
    <w:pitch w:val="default"/>
    <w:sig w:usb0="E00002FF" w:usb1="4200FCFF" w:usb2="08000039" w:usb3="00100000" w:csb0="0000019F" w:csb1="DFD70000"/>
  </w:font>
  <w:font w:name="Tms Rmn">
    <w:altName w:val="Times New Roman"/>
    <w:panose1 w:val="02020603040505020304"/>
    <w:charset w:val="00"/>
    <w:family w:val="roman"/>
    <w:pitch w:val="default"/>
    <w:sig w:usb0="00000000" w:usb1="00000000" w:usb2="00000000" w:usb3="00000000" w:csb0="00000001" w:csb1="00000000"/>
  </w:font>
  <w:font w:name="Helv">
    <w:altName w:val="Microsoft Sans Serif"/>
    <w:panose1 w:val="020B0604020202030204"/>
    <w:charset w:val="00"/>
    <w:family w:val="swiss"/>
    <w:pitch w:val="default"/>
    <w:sig w:usb0="00000000" w:usb1="00000000" w:usb2="00000000" w:usb3="00000000" w:csb0="00000001" w:csb1="00000000"/>
  </w:font>
  <w:font w:name="New York">
    <w:altName w:val="Times New Roman"/>
    <w:panose1 w:val="02040503060506020304"/>
    <w:charset w:val="00"/>
    <w:family w:val="roman"/>
    <w:pitch w:val="default"/>
    <w:sig w:usb0="00000000" w:usb1="00000000" w:usb2="00000000" w:usb3="00000000" w:csb0="00000001" w:csb1="00000000"/>
  </w:font>
  <w:font w:name="Arial Unicode MS">
    <w:altName w:val="Times New Roman"/>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
    <w:altName w:val="微软雅黑"/>
    <w:panose1 w:val="02010609060101010101"/>
    <w:charset w:val="86"/>
    <w:family w:val="modern"/>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___WRD_EMBED_SUB_39">
    <w:altName w:val="仿宋_GB2312"/>
    <w:panose1 w:val="02010609030101010101"/>
    <w:charset w:val="86"/>
    <w:family w:val="modern"/>
    <w:pitch w:val="default"/>
    <w:sig w:usb0="00000000" w:usb1="00000000" w:usb2="00000010" w:usb3="00000000" w:csb0="00040000" w:csb1="00000000"/>
  </w:font>
  <w:font w:name="等线 Light">
    <w:altName w:val="汉仪旗黑-55"/>
    <w:panose1 w:val="00000000000000000000"/>
    <w:charset w:val="00"/>
    <w:family w:val="auto"/>
    <w:pitch w:val="default"/>
    <w:sig w:usb0="00000000" w:usb1="00000000" w:usb2="00000000" w:usb3="00000000" w:csb0="00000000" w:csb1="00000000"/>
  </w:font>
  <w:font w:name="汉仪旗黑-55">
    <w:panose1 w:val="00020600040101010101"/>
    <w:charset w:val="86"/>
    <w:family w:val="auto"/>
    <w:pitch w:val="default"/>
    <w:sig w:usb0="A00002BF" w:usb1="18EF7CFA" w:usb2="00000016" w:usb3="00000000" w:csb0="00040000" w:csb1="00000000"/>
  </w:font>
  <w:font w:name="等线">
    <w:altName w:val="微软雅黑"/>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05B32">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27D5E"/>
    <w:multiLevelType w:val="multilevel"/>
    <w:tmpl w:val="17427D5E"/>
    <w:lvl w:ilvl="0" w:tentative="0">
      <w:start w:val="1"/>
      <w:numFmt w:val="japaneseCounting"/>
      <w:lvlText w:val="（%1）"/>
      <w:lvlJc w:val="left"/>
      <w:pPr>
        <w:ind w:left="1646" w:hanging="1005"/>
      </w:pPr>
      <w:rPr>
        <w:rFonts w:hint="default"/>
      </w:rPr>
    </w:lvl>
    <w:lvl w:ilvl="1" w:tentative="0">
      <w:start w:val="1"/>
      <w:numFmt w:val="lowerLetter"/>
      <w:lvlText w:val="%2)"/>
      <w:lvlJc w:val="left"/>
      <w:pPr>
        <w:ind w:left="1481" w:hanging="420"/>
      </w:pPr>
    </w:lvl>
    <w:lvl w:ilvl="2" w:tentative="0">
      <w:start w:val="1"/>
      <w:numFmt w:val="lowerRoman"/>
      <w:lvlText w:val="%3."/>
      <w:lvlJc w:val="right"/>
      <w:pPr>
        <w:ind w:left="1901" w:hanging="420"/>
      </w:pPr>
    </w:lvl>
    <w:lvl w:ilvl="3" w:tentative="0">
      <w:start w:val="1"/>
      <w:numFmt w:val="decimal"/>
      <w:lvlText w:val="%4."/>
      <w:lvlJc w:val="left"/>
      <w:pPr>
        <w:ind w:left="2321" w:hanging="420"/>
      </w:pPr>
    </w:lvl>
    <w:lvl w:ilvl="4" w:tentative="0">
      <w:start w:val="1"/>
      <w:numFmt w:val="lowerLetter"/>
      <w:lvlText w:val="%5)"/>
      <w:lvlJc w:val="left"/>
      <w:pPr>
        <w:ind w:left="2741" w:hanging="420"/>
      </w:pPr>
    </w:lvl>
    <w:lvl w:ilvl="5" w:tentative="0">
      <w:start w:val="1"/>
      <w:numFmt w:val="lowerRoman"/>
      <w:lvlText w:val="%6."/>
      <w:lvlJc w:val="right"/>
      <w:pPr>
        <w:ind w:left="3161" w:hanging="420"/>
      </w:pPr>
    </w:lvl>
    <w:lvl w:ilvl="6" w:tentative="0">
      <w:start w:val="1"/>
      <w:numFmt w:val="decimal"/>
      <w:lvlText w:val="%7."/>
      <w:lvlJc w:val="left"/>
      <w:pPr>
        <w:ind w:left="3581" w:hanging="420"/>
      </w:pPr>
    </w:lvl>
    <w:lvl w:ilvl="7" w:tentative="0">
      <w:start w:val="1"/>
      <w:numFmt w:val="lowerLetter"/>
      <w:lvlText w:val="%8)"/>
      <w:lvlJc w:val="left"/>
      <w:pPr>
        <w:ind w:left="4001" w:hanging="420"/>
      </w:pPr>
    </w:lvl>
    <w:lvl w:ilvl="8" w:tentative="0">
      <w:start w:val="1"/>
      <w:numFmt w:val="lowerRoman"/>
      <w:lvlText w:val="%9."/>
      <w:lvlJc w:val="right"/>
      <w:pPr>
        <w:ind w:left="44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kN2MzYjM3ZWFjNzBjMDg0NDU5NTE1M2Q3MzIwNmYifQ=="/>
  </w:docVars>
  <w:rsids>
    <w:rsidRoot w:val="00172A27"/>
    <w:rsid w:val="00000CBF"/>
    <w:rsid w:val="000034CD"/>
    <w:rsid w:val="00003B87"/>
    <w:rsid w:val="000106AF"/>
    <w:rsid w:val="00010F09"/>
    <w:rsid w:val="00010F57"/>
    <w:rsid w:val="00014729"/>
    <w:rsid w:val="000168E2"/>
    <w:rsid w:val="00016E30"/>
    <w:rsid w:val="0001778D"/>
    <w:rsid w:val="00023930"/>
    <w:rsid w:val="0002537D"/>
    <w:rsid w:val="000267C9"/>
    <w:rsid w:val="000316D6"/>
    <w:rsid w:val="00034C3D"/>
    <w:rsid w:val="00035935"/>
    <w:rsid w:val="00035BD9"/>
    <w:rsid w:val="00037650"/>
    <w:rsid w:val="000408B3"/>
    <w:rsid w:val="000409C6"/>
    <w:rsid w:val="00040A7B"/>
    <w:rsid w:val="0004437D"/>
    <w:rsid w:val="00044D5A"/>
    <w:rsid w:val="00047F92"/>
    <w:rsid w:val="000517C8"/>
    <w:rsid w:val="00052722"/>
    <w:rsid w:val="00052AB3"/>
    <w:rsid w:val="000530B5"/>
    <w:rsid w:val="000547DF"/>
    <w:rsid w:val="00056E21"/>
    <w:rsid w:val="00063642"/>
    <w:rsid w:val="00065474"/>
    <w:rsid w:val="00071596"/>
    <w:rsid w:val="00073EED"/>
    <w:rsid w:val="00080B1C"/>
    <w:rsid w:val="00082025"/>
    <w:rsid w:val="000843F5"/>
    <w:rsid w:val="00084B87"/>
    <w:rsid w:val="00084C61"/>
    <w:rsid w:val="00084EE5"/>
    <w:rsid w:val="00085C93"/>
    <w:rsid w:val="00087A5E"/>
    <w:rsid w:val="00090945"/>
    <w:rsid w:val="00094212"/>
    <w:rsid w:val="00094289"/>
    <w:rsid w:val="00094579"/>
    <w:rsid w:val="0009486F"/>
    <w:rsid w:val="00097AD5"/>
    <w:rsid w:val="00097E70"/>
    <w:rsid w:val="000A3463"/>
    <w:rsid w:val="000A3CBA"/>
    <w:rsid w:val="000B179A"/>
    <w:rsid w:val="000B19DD"/>
    <w:rsid w:val="000B271C"/>
    <w:rsid w:val="000B3090"/>
    <w:rsid w:val="000B395D"/>
    <w:rsid w:val="000B4C87"/>
    <w:rsid w:val="000B5E2F"/>
    <w:rsid w:val="000B75C9"/>
    <w:rsid w:val="000C2547"/>
    <w:rsid w:val="000C2657"/>
    <w:rsid w:val="000C3B4A"/>
    <w:rsid w:val="000C7570"/>
    <w:rsid w:val="000D1A18"/>
    <w:rsid w:val="000D4710"/>
    <w:rsid w:val="000E093A"/>
    <w:rsid w:val="000E597B"/>
    <w:rsid w:val="000E63BF"/>
    <w:rsid w:val="000F0BD4"/>
    <w:rsid w:val="000F344F"/>
    <w:rsid w:val="000F6C2D"/>
    <w:rsid w:val="000F7468"/>
    <w:rsid w:val="000F746A"/>
    <w:rsid w:val="00102140"/>
    <w:rsid w:val="00106E16"/>
    <w:rsid w:val="001114EC"/>
    <w:rsid w:val="00112A96"/>
    <w:rsid w:val="001133DF"/>
    <w:rsid w:val="00114F9E"/>
    <w:rsid w:val="001151B8"/>
    <w:rsid w:val="00122854"/>
    <w:rsid w:val="00122B22"/>
    <w:rsid w:val="00123EEA"/>
    <w:rsid w:val="00126508"/>
    <w:rsid w:val="001329DF"/>
    <w:rsid w:val="001342A7"/>
    <w:rsid w:val="00142E3E"/>
    <w:rsid w:val="001432CD"/>
    <w:rsid w:val="0014381D"/>
    <w:rsid w:val="0014464F"/>
    <w:rsid w:val="00152205"/>
    <w:rsid w:val="00153AFD"/>
    <w:rsid w:val="00155332"/>
    <w:rsid w:val="00155E13"/>
    <w:rsid w:val="00157214"/>
    <w:rsid w:val="001602D6"/>
    <w:rsid w:val="00163244"/>
    <w:rsid w:val="00163F67"/>
    <w:rsid w:val="00172A27"/>
    <w:rsid w:val="001735FD"/>
    <w:rsid w:val="001738CA"/>
    <w:rsid w:val="00175368"/>
    <w:rsid w:val="001802D6"/>
    <w:rsid w:val="00183BED"/>
    <w:rsid w:val="00191536"/>
    <w:rsid w:val="00193879"/>
    <w:rsid w:val="001940E1"/>
    <w:rsid w:val="00196BA0"/>
    <w:rsid w:val="0019719A"/>
    <w:rsid w:val="001A02B5"/>
    <w:rsid w:val="001A1BDF"/>
    <w:rsid w:val="001A2F89"/>
    <w:rsid w:val="001A3158"/>
    <w:rsid w:val="001A3CE2"/>
    <w:rsid w:val="001A5241"/>
    <w:rsid w:val="001B012D"/>
    <w:rsid w:val="001B0DDF"/>
    <w:rsid w:val="001B1449"/>
    <w:rsid w:val="001B3621"/>
    <w:rsid w:val="001B4457"/>
    <w:rsid w:val="001B5368"/>
    <w:rsid w:val="001B5886"/>
    <w:rsid w:val="001B5EC9"/>
    <w:rsid w:val="001B7FCD"/>
    <w:rsid w:val="001C0CDF"/>
    <w:rsid w:val="001C4010"/>
    <w:rsid w:val="001C6BF1"/>
    <w:rsid w:val="001D3C7E"/>
    <w:rsid w:val="001D6D0B"/>
    <w:rsid w:val="001D7958"/>
    <w:rsid w:val="001E0433"/>
    <w:rsid w:val="001E3429"/>
    <w:rsid w:val="001E68D8"/>
    <w:rsid w:val="001E76DB"/>
    <w:rsid w:val="001F4C1E"/>
    <w:rsid w:val="001F6B7A"/>
    <w:rsid w:val="00200204"/>
    <w:rsid w:val="002015D3"/>
    <w:rsid w:val="002039F1"/>
    <w:rsid w:val="002044DF"/>
    <w:rsid w:val="002049F7"/>
    <w:rsid w:val="0021312E"/>
    <w:rsid w:val="0021383F"/>
    <w:rsid w:val="00214BEE"/>
    <w:rsid w:val="0021585B"/>
    <w:rsid w:val="0021600A"/>
    <w:rsid w:val="0021726C"/>
    <w:rsid w:val="00217770"/>
    <w:rsid w:val="00220C2A"/>
    <w:rsid w:val="00221E65"/>
    <w:rsid w:val="002240B1"/>
    <w:rsid w:val="0022415F"/>
    <w:rsid w:val="00224835"/>
    <w:rsid w:val="00224F3D"/>
    <w:rsid w:val="00225C23"/>
    <w:rsid w:val="00233D9B"/>
    <w:rsid w:val="00236FA6"/>
    <w:rsid w:val="00240094"/>
    <w:rsid w:val="00241B6B"/>
    <w:rsid w:val="002431E6"/>
    <w:rsid w:val="0024416D"/>
    <w:rsid w:val="00244B90"/>
    <w:rsid w:val="00245FFD"/>
    <w:rsid w:val="0025052F"/>
    <w:rsid w:val="0025133B"/>
    <w:rsid w:val="002519F2"/>
    <w:rsid w:val="00251E52"/>
    <w:rsid w:val="00252024"/>
    <w:rsid w:val="00252295"/>
    <w:rsid w:val="002604EC"/>
    <w:rsid w:val="0026390E"/>
    <w:rsid w:val="00266811"/>
    <w:rsid w:val="002670EA"/>
    <w:rsid w:val="00270D49"/>
    <w:rsid w:val="002742F8"/>
    <w:rsid w:val="002748BD"/>
    <w:rsid w:val="00274A4D"/>
    <w:rsid w:val="00274E33"/>
    <w:rsid w:val="00286355"/>
    <w:rsid w:val="00286B1A"/>
    <w:rsid w:val="00287D92"/>
    <w:rsid w:val="00290958"/>
    <w:rsid w:val="00291FC4"/>
    <w:rsid w:val="002926AE"/>
    <w:rsid w:val="00293A42"/>
    <w:rsid w:val="00293F3B"/>
    <w:rsid w:val="00294D1F"/>
    <w:rsid w:val="002A25F0"/>
    <w:rsid w:val="002A38DC"/>
    <w:rsid w:val="002A3F94"/>
    <w:rsid w:val="002A4CC2"/>
    <w:rsid w:val="002B0E96"/>
    <w:rsid w:val="002B1C2B"/>
    <w:rsid w:val="002B21CC"/>
    <w:rsid w:val="002B3658"/>
    <w:rsid w:val="002B37AB"/>
    <w:rsid w:val="002B37C5"/>
    <w:rsid w:val="002B7E88"/>
    <w:rsid w:val="002D028A"/>
    <w:rsid w:val="002D27EE"/>
    <w:rsid w:val="002D2D64"/>
    <w:rsid w:val="002D3180"/>
    <w:rsid w:val="002D4EA7"/>
    <w:rsid w:val="002D6124"/>
    <w:rsid w:val="002D6167"/>
    <w:rsid w:val="002D70B8"/>
    <w:rsid w:val="002D7791"/>
    <w:rsid w:val="002D7AEB"/>
    <w:rsid w:val="002D7FE5"/>
    <w:rsid w:val="002F0AEA"/>
    <w:rsid w:val="002F0CEB"/>
    <w:rsid w:val="002F1022"/>
    <w:rsid w:val="002F2712"/>
    <w:rsid w:val="002F73C2"/>
    <w:rsid w:val="002F7AA1"/>
    <w:rsid w:val="0030209D"/>
    <w:rsid w:val="00304A27"/>
    <w:rsid w:val="0030703E"/>
    <w:rsid w:val="00307477"/>
    <w:rsid w:val="003115CC"/>
    <w:rsid w:val="00313750"/>
    <w:rsid w:val="00316EA0"/>
    <w:rsid w:val="00321A3C"/>
    <w:rsid w:val="0033160F"/>
    <w:rsid w:val="00331DB0"/>
    <w:rsid w:val="003337F4"/>
    <w:rsid w:val="00335EEB"/>
    <w:rsid w:val="00337D32"/>
    <w:rsid w:val="003406D1"/>
    <w:rsid w:val="0034673B"/>
    <w:rsid w:val="00351751"/>
    <w:rsid w:val="00351CBC"/>
    <w:rsid w:val="00352172"/>
    <w:rsid w:val="00355342"/>
    <w:rsid w:val="00356692"/>
    <w:rsid w:val="00356F2E"/>
    <w:rsid w:val="003575C9"/>
    <w:rsid w:val="0036025D"/>
    <w:rsid w:val="00361339"/>
    <w:rsid w:val="003617B4"/>
    <w:rsid w:val="003631E0"/>
    <w:rsid w:val="003655C7"/>
    <w:rsid w:val="003666F6"/>
    <w:rsid w:val="00367F5C"/>
    <w:rsid w:val="00367FEB"/>
    <w:rsid w:val="00370C21"/>
    <w:rsid w:val="0037119D"/>
    <w:rsid w:val="00371460"/>
    <w:rsid w:val="00371E38"/>
    <w:rsid w:val="00374C99"/>
    <w:rsid w:val="00374EC2"/>
    <w:rsid w:val="00375717"/>
    <w:rsid w:val="00377F83"/>
    <w:rsid w:val="00385C9F"/>
    <w:rsid w:val="00385D9C"/>
    <w:rsid w:val="00386A78"/>
    <w:rsid w:val="00387B4F"/>
    <w:rsid w:val="00387FDC"/>
    <w:rsid w:val="003900E4"/>
    <w:rsid w:val="003908AD"/>
    <w:rsid w:val="003944BB"/>
    <w:rsid w:val="003945B5"/>
    <w:rsid w:val="00394D62"/>
    <w:rsid w:val="00395D0B"/>
    <w:rsid w:val="00397362"/>
    <w:rsid w:val="003A003A"/>
    <w:rsid w:val="003A1185"/>
    <w:rsid w:val="003A3E3C"/>
    <w:rsid w:val="003A3F4A"/>
    <w:rsid w:val="003A4972"/>
    <w:rsid w:val="003B4A14"/>
    <w:rsid w:val="003B5570"/>
    <w:rsid w:val="003B77B6"/>
    <w:rsid w:val="003C31AB"/>
    <w:rsid w:val="003C35CD"/>
    <w:rsid w:val="003C43EA"/>
    <w:rsid w:val="003C4F65"/>
    <w:rsid w:val="003C53D2"/>
    <w:rsid w:val="003C7866"/>
    <w:rsid w:val="003D0971"/>
    <w:rsid w:val="003D3C90"/>
    <w:rsid w:val="003D5CBF"/>
    <w:rsid w:val="003E02C3"/>
    <w:rsid w:val="003E18C9"/>
    <w:rsid w:val="003F567D"/>
    <w:rsid w:val="003F7782"/>
    <w:rsid w:val="00400588"/>
    <w:rsid w:val="00406AC9"/>
    <w:rsid w:val="0041073B"/>
    <w:rsid w:val="0041167C"/>
    <w:rsid w:val="004138A8"/>
    <w:rsid w:val="0041426C"/>
    <w:rsid w:val="00416FDF"/>
    <w:rsid w:val="00417B37"/>
    <w:rsid w:val="0042054B"/>
    <w:rsid w:val="00420D95"/>
    <w:rsid w:val="004253B8"/>
    <w:rsid w:val="00425ED7"/>
    <w:rsid w:val="00426740"/>
    <w:rsid w:val="00427C2F"/>
    <w:rsid w:val="0043128C"/>
    <w:rsid w:val="00434D44"/>
    <w:rsid w:val="0044228B"/>
    <w:rsid w:val="00442688"/>
    <w:rsid w:val="00442AED"/>
    <w:rsid w:val="00442D5D"/>
    <w:rsid w:val="00444B82"/>
    <w:rsid w:val="004459F0"/>
    <w:rsid w:val="00454633"/>
    <w:rsid w:val="00454737"/>
    <w:rsid w:val="00455BF8"/>
    <w:rsid w:val="00456DB3"/>
    <w:rsid w:val="00456EAD"/>
    <w:rsid w:val="004604FE"/>
    <w:rsid w:val="004611A8"/>
    <w:rsid w:val="00467117"/>
    <w:rsid w:val="00467D70"/>
    <w:rsid w:val="00467DC5"/>
    <w:rsid w:val="004702DB"/>
    <w:rsid w:val="00470C8E"/>
    <w:rsid w:val="00473D33"/>
    <w:rsid w:val="004769DB"/>
    <w:rsid w:val="00481EB5"/>
    <w:rsid w:val="00482B89"/>
    <w:rsid w:val="004833E7"/>
    <w:rsid w:val="00483401"/>
    <w:rsid w:val="00491B17"/>
    <w:rsid w:val="004931F8"/>
    <w:rsid w:val="00494023"/>
    <w:rsid w:val="004954C1"/>
    <w:rsid w:val="004967F7"/>
    <w:rsid w:val="00497241"/>
    <w:rsid w:val="004A1F81"/>
    <w:rsid w:val="004A20B6"/>
    <w:rsid w:val="004A2789"/>
    <w:rsid w:val="004A2DF3"/>
    <w:rsid w:val="004A2FCA"/>
    <w:rsid w:val="004A3875"/>
    <w:rsid w:val="004A7AF4"/>
    <w:rsid w:val="004B048E"/>
    <w:rsid w:val="004B143B"/>
    <w:rsid w:val="004B174D"/>
    <w:rsid w:val="004B5933"/>
    <w:rsid w:val="004C500C"/>
    <w:rsid w:val="004C5FFC"/>
    <w:rsid w:val="004C74F7"/>
    <w:rsid w:val="004D1253"/>
    <w:rsid w:val="004D158E"/>
    <w:rsid w:val="004D2861"/>
    <w:rsid w:val="004D5666"/>
    <w:rsid w:val="004D6BB1"/>
    <w:rsid w:val="004D7A03"/>
    <w:rsid w:val="004D7DBF"/>
    <w:rsid w:val="004E0454"/>
    <w:rsid w:val="004E06ED"/>
    <w:rsid w:val="004E1457"/>
    <w:rsid w:val="004E4A43"/>
    <w:rsid w:val="004E4BBF"/>
    <w:rsid w:val="004F2CDD"/>
    <w:rsid w:val="004F4D87"/>
    <w:rsid w:val="004F55CD"/>
    <w:rsid w:val="004F58A0"/>
    <w:rsid w:val="004F5F12"/>
    <w:rsid w:val="004F6692"/>
    <w:rsid w:val="004F77B0"/>
    <w:rsid w:val="00501EEF"/>
    <w:rsid w:val="00502A31"/>
    <w:rsid w:val="00505021"/>
    <w:rsid w:val="00506790"/>
    <w:rsid w:val="00510EFF"/>
    <w:rsid w:val="00511717"/>
    <w:rsid w:val="00511B53"/>
    <w:rsid w:val="005146EE"/>
    <w:rsid w:val="005160E3"/>
    <w:rsid w:val="005161E3"/>
    <w:rsid w:val="00516B40"/>
    <w:rsid w:val="005203F0"/>
    <w:rsid w:val="00521E09"/>
    <w:rsid w:val="00525EB0"/>
    <w:rsid w:val="00535551"/>
    <w:rsid w:val="0053664B"/>
    <w:rsid w:val="00540718"/>
    <w:rsid w:val="00540B71"/>
    <w:rsid w:val="00541F46"/>
    <w:rsid w:val="0054292B"/>
    <w:rsid w:val="005440BF"/>
    <w:rsid w:val="0054661A"/>
    <w:rsid w:val="005510D1"/>
    <w:rsid w:val="00552574"/>
    <w:rsid w:val="00554DCA"/>
    <w:rsid w:val="00556C59"/>
    <w:rsid w:val="00557E0E"/>
    <w:rsid w:val="005604D0"/>
    <w:rsid w:val="005614CC"/>
    <w:rsid w:val="005615F3"/>
    <w:rsid w:val="0056225D"/>
    <w:rsid w:val="00562E92"/>
    <w:rsid w:val="005639FA"/>
    <w:rsid w:val="0056420B"/>
    <w:rsid w:val="00564ABA"/>
    <w:rsid w:val="005653F5"/>
    <w:rsid w:val="00571BB6"/>
    <w:rsid w:val="00572A14"/>
    <w:rsid w:val="0057572A"/>
    <w:rsid w:val="00576A02"/>
    <w:rsid w:val="0058236D"/>
    <w:rsid w:val="00582BA2"/>
    <w:rsid w:val="00583D19"/>
    <w:rsid w:val="0058789A"/>
    <w:rsid w:val="00593F60"/>
    <w:rsid w:val="00594E72"/>
    <w:rsid w:val="00594E89"/>
    <w:rsid w:val="00595732"/>
    <w:rsid w:val="005957A8"/>
    <w:rsid w:val="00597F0A"/>
    <w:rsid w:val="005A0020"/>
    <w:rsid w:val="005A0592"/>
    <w:rsid w:val="005A09E0"/>
    <w:rsid w:val="005A1BC7"/>
    <w:rsid w:val="005A7383"/>
    <w:rsid w:val="005B155E"/>
    <w:rsid w:val="005B1651"/>
    <w:rsid w:val="005B1D05"/>
    <w:rsid w:val="005B544A"/>
    <w:rsid w:val="005B570B"/>
    <w:rsid w:val="005B5DBA"/>
    <w:rsid w:val="005B5ECD"/>
    <w:rsid w:val="005C5D3B"/>
    <w:rsid w:val="005C773C"/>
    <w:rsid w:val="005D2118"/>
    <w:rsid w:val="005D476C"/>
    <w:rsid w:val="005D5AEF"/>
    <w:rsid w:val="005E031D"/>
    <w:rsid w:val="005E2226"/>
    <w:rsid w:val="005F007E"/>
    <w:rsid w:val="005F22D5"/>
    <w:rsid w:val="005F2659"/>
    <w:rsid w:val="005F3198"/>
    <w:rsid w:val="005F5238"/>
    <w:rsid w:val="005F5B86"/>
    <w:rsid w:val="00603A8C"/>
    <w:rsid w:val="00607135"/>
    <w:rsid w:val="00610D76"/>
    <w:rsid w:val="0061425B"/>
    <w:rsid w:val="00615CCA"/>
    <w:rsid w:val="00616504"/>
    <w:rsid w:val="00616551"/>
    <w:rsid w:val="00617C3C"/>
    <w:rsid w:val="00623384"/>
    <w:rsid w:val="006236AD"/>
    <w:rsid w:val="0063195F"/>
    <w:rsid w:val="00632944"/>
    <w:rsid w:val="006355A9"/>
    <w:rsid w:val="00637A4F"/>
    <w:rsid w:val="00641CD5"/>
    <w:rsid w:val="00642BB6"/>
    <w:rsid w:val="00644031"/>
    <w:rsid w:val="00644FBC"/>
    <w:rsid w:val="00647134"/>
    <w:rsid w:val="00652DB9"/>
    <w:rsid w:val="0065703E"/>
    <w:rsid w:val="006575E7"/>
    <w:rsid w:val="00657673"/>
    <w:rsid w:val="00661E32"/>
    <w:rsid w:val="00662CCA"/>
    <w:rsid w:val="00662EC6"/>
    <w:rsid w:val="00662F26"/>
    <w:rsid w:val="00665B56"/>
    <w:rsid w:val="006720DF"/>
    <w:rsid w:val="00672743"/>
    <w:rsid w:val="00681E9C"/>
    <w:rsid w:val="00682B2E"/>
    <w:rsid w:val="00683341"/>
    <w:rsid w:val="006853C1"/>
    <w:rsid w:val="0068695A"/>
    <w:rsid w:val="00686C54"/>
    <w:rsid w:val="00687D34"/>
    <w:rsid w:val="00691B56"/>
    <w:rsid w:val="00691CC7"/>
    <w:rsid w:val="00691D88"/>
    <w:rsid w:val="00691EC8"/>
    <w:rsid w:val="00693C36"/>
    <w:rsid w:val="0069508B"/>
    <w:rsid w:val="00695904"/>
    <w:rsid w:val="006966EC"/>
    <w:rsid w:val="0069730F"/>
    <w:rsid w:val="00697930"/>
    <w:rsid w:val="006A0A1B"/>
    <w:rsid w:val="006A1B40"/>
    <w:rsid w:val="006A29F4"/>
    <w:rsid w:val="006A33FD"/>
    <w:rsid w:val="006A4D49"/>
    <w:rsid w:val="006A5098"/>
    <w:rsid w:val="006A623D"/>
    <w:rsid w:val="006B1149"/>
    <w:rsid w:val="006B1F4E"/>
    <w:rsid w:val="006B35D8"/>
    <w:rsid w:val="006B5EC7"/>
    <w:rsid w:val="006B6C41"/>
    <w:rsid w:val="006C0F17"/>
    <w:rsid w:val="006C3341"/>
    <w:rsid w:val="006C3359"/>
    <w:rsid w:val="006C4A23"/>
    <w:rsid w:val="006C5697"/>
    <w:rsid w:val="006C6FF2"/>
    <w:rsid w:val="006C79FA"/>
    <w:rsid w:val="006C7ECE"/>
    <w:rsid w:val="006D10E1"/>
    <w:rsid w:val="006D3BB4"/>
    <w:rsid w:val="006D4EAB"/>
    <w:rsid w:val="006F04BC"/>
    <w:rsid w:val="006F520F"/>
    <w:rsid w:val="00700A16"/>
    <w:rsid w:val="00701E0C"/>
    <w:rsid w:val="0070236E"/>
    <w:rsid w:val="00702E1F"/>
    <w:rsid w:val="00705D96"/>
    <w:rsid w:val="00706BD6"/>
    <w:rsid w:val="00710B15"/>
    <w:rsid w:val="00710DBC"/>
    <w:rsid w:val="00710F2F"/>
    <w:rsid w:val="00711981"/>
    <w:rsid w:val="00712513"/>
    <w:rsid w:val="00714FCB"/>
    <w:rsid w:val="00716714"/>
    <w:rsid w:val="00717855"/>
    <w:rsid w:val="007208BC"/>
    <w:rsid w:val="007223AD"/>
    <w:rsid w:val="0072313B"/>
    <w:rsid w:val="0073016A"/>
    <w:rsid w:val="007319CE"/>
    <w:rsid w:val="0073502E"/>
    <w:rsid w:val="00735453"/>
    <w:rsid w:val="0074153A"/>
    <w:rsid w:val="00741A58"/>
    <w:rsid w:val="007438FA"/>
    <w:rsid w:val="007444F9"/>
    <w:rsid w:val="00745662"/>
    <w:rsid w:val="00746BB0"/>
    <w:rsid w:val="007500F5"/>
    <w:rsid w:val="00751B12"/>
    <w:rsid w:val="007525B4"/>
    <w:rsid w:val="0075361E"/>
    <w:rsid w:val="00755B39"/>
    <w:rsid w:val="00756505"/>
    <w:rsid w:val="00757D13"/>
    <w:rsid w:val="007602DD"/>
    <w:rsid w:val="00760CD7"/>
    <w:rsid w:val="0076688E"/>
    <w:rsid w:val="007720CC"/>
    <w:rsid w:val="0077226B"/>
    <w:rsid w:val="00773DB6"/>
    <w:rsid w:val="0077514A"/>
    <w:rsid w:val="00781279"/>
    <w:rsid w:val="00783AFE"/>
    <w:rsid w:val="007904FF"/>
    <w:rsid w:val="007925EB"/>
    <w:rsid w:val="00796798"/>
    <w:rsid w:val="00797B28"/>
    <w:rsid w:val="007A038A"/>
    <w:rsid w:val="007A1E1B"/>
    <w:rsid w:val="007A23C5"/>
    <w:rsid w:val="007A3D48"/>
    <w:rsid w:val="007A5961"/>
    <w:rsid w:val="007A62AF"/>
    <w:rsid w:val="007A6303"/>
    <w:rsid w:val="007A73B9"/>
    <w:rsid w:val="007B0811"/>
    <w:rsid w:val="007B12CC"/>
    <w:rsid w:val="007B31EB"/>
    <w:rsid w:val="007B425E"/>
    <w:rsid w:val="007C1D53"/>
    <w:rsid w:val="007C22F2"/>
    <w:rsid w:val="007C4FA1"/>
    <w:rsid w:val="007D2F2B"/>
    <w:rsid w:val="007D48A4"/>
    <w:rsid w:val="007D719A"/>
    <w:rsid w:val="007E11AF"/>
    <w:rsid w:val="007E36AC"/>
    <w:rsid w:val="007E4B97"/>
    <w:rsid w:val="007E5353"/>
    <w:rsid w:val="007E55B7"/>
    <w:rsid w:val="007E6392"/>
    <w:rsid w:val="007F42D9"/>
    <w:rsid w:val="007F5799"/>
    <w:rsid w:val="007F5BF8"/>
    <w:rsid w:val="007F7B66"/>
    <w:rsid w:val="00801DE2"/>
    <w:rsid w:val="00802AAD"/>
    <w:rsid w:val="008038C9"/>
    <w:rsid w:val="0080646E"/>
    <w:rsid w:val="00806C2A"/>
    <w:rsid w:val="008077DA"/>
    <w:rsid w:val="008153A1"/>
    <w:rsid w:val="00825BFE"/>
    <w:rsid w:val="00825C8F"/>
    <w:rsid w:val="00826B5E"/>
    <w:rsid w:val="00831380"/>
    <w:rsid w:val="00831843"/>
    <w:rsid w:val="00832D6F"/>
    <w:rsid w:val="008330BB"/>
    <w:rsid w:val="00833CAD"/>
    <w:rsid w:val="008406FC"/>
    <w:rsid w:val="00840AA3"/>
    <w:rsid w:val="008410E6"/>
    <w:rsid w:val="00841318"/>
    <w:rsid w:val="00841E77"/>
    <w:rsid w:val="008421E5"/>
    <w:rsid w:val="00845E45"/>
    <w:rsid w:val="008512E3"/>
    <w:rsid w:val="00851C1E"/>
    <w:rsid w:val="00853166"/>
    <w:rsid w:val="008545A3"/>
    <w:rsid w:val="00856CD9"/>
    <w:rsid w:val="00862F0E"/>
    <w:rsid w:val="00863E6B"/>
    <w:rsid w:val="008655F8"/>
    <w:rsid w:val="00867DAD"/>
    <w:rsid w:val="00867EAE"/>
    <w:rsid w:val="00870A99"/>
    <w:rsid w:val="00871458"/>
    <w:rsid w:val="00872CB6"/>
    <w:rsid w:val="00874F21"/>
    <w:rsid w:val="00882D02"/>
    <w:rsid w:val="00883213"/>
    <w:rsid w:val="00884A1B"/>
    <w:rsid w:val="008923A4"/>
    <w:rsid w:val="008927E0"/>
    <w:rsid w:val="00893556"/>
    <w:rsid w:val="00893B88"/>
    <w:rsid w:val="008953C4"/>
    <w:rsid w:val="008A02F3"/>
    <w:rsid w:val="008A4193"/>
    <w:rsid w:val="008A4440"/>
    <w:rsid w:val="008A58B3"/>
    <w:rsid w:val="008B024E"/>
    <w:rsid w:val="008B14E4"/>
    <w:rsid w:val="008B2C45"/>
    <w:rsid w:val="008B4190"/>
    <w:rsid w:val="008C0361"/>
    <w:rsid w:val="008C2670"/>
    <w:rsid w:val="008C6831"/>
    <w:rsid w:val="008C736D"/>
    <w:rsid w:val="008D30DD"/>
    <w:rsid w:val="008D35B6"/>
    <w:rsid w:val="008D5D5A"/>
    <w:rsid w:val="008D63C9"/>
    <w:rsid w:val="008D77B0"/>
    <w:rsid w:val="008E06A1"/>
    <w:rsid w:val="008E1673"/>
    <w:rsid w:val="008E6D68"/>
    <w:rsid w:val="008F4555"/>
    <w:rsid w:val="00900431"/>
    <w:rsid w:val="00902193"/>
    <w:rsid w:val="0090328C"/>
    <w:rsid w:val="00910123"/>
    <w:rsid w:val="00912961"/>
    <w:rsid w:val="00913386"/>
    <w:rsid w:val="00913F71"/>
    <w:rsid w:val="00914563"/>
    <w:rsid w:val="00916D35"/>
    <w:rsid w:val="00921822"/>
    <w:rsid w:val="00921960"/>
    <w:rsid w:val="0092196F"/>
    <w:rsid w:val="00923F6C"/>
    <w:rsid w:val="00925D28"/>
    <w:rsid w:val="00927B48"/>
    <w:rsid w:val="00931166"/>
    <w:rsid w:val="0093340A"/>
    <w:rsid w:val="00933955"/>
    <w:rsid w:val="00935A11"/>
    <w:rsid w:val="00936518"/>
    <w:rsid w:val="00937032"/>
    <w:rsid w:val="00937C98"/>
    <w:rsid w:val="0094258F"/>
    <w:rsid w:val="0094661D"/>
    <w:rsid w:val="0095122D"/>
    <w:rsid w:val="00952194"/>
    <w:rsid w:val="00955087"/>
    <w:rsid w:val="0095730F"/>
    <w:rsid w:val="0096060D"/>
    <w:rsid w:val="00961C95"/>
    <w:rsid w:val="00962A5F"/>
    <w:rsid w:val="00963B0B"/>
    <w:rsid w:val="0096467C"/>
    <w:rsid w:val="00965969"/>
    <w:rsid w:val="00965DB7"/>
    <w:rsid w:val="009667C2"/>
    <w:rsid w:val="00967F39"/>
    <w:rsid w:val="00970038"/>
    <w:rsid w:val="00971D84"/>
    <w:rsid w:val="0097237D"/>
    <w:rsid w:val="009740A2"/>
    <w:rsid w:val="00976F17"/>
    <w:rsid w:val="00981972"/>
    <w:rsid w:val="0098245F"/>
    <w:rsid w:val="009855CA"/>
    <w:rsid w:val="00990F07"/>
    <w:rsid w:val="009932D0"/>
    <w:rsid w:val="00996DA3"/>
    <w:rsid w:val="009B0A61"/>
    <w:rsid w:val="009B109A"/>
    <w:rsid w:val="009B4531"/>
    <w:rsid w:val="009B5F75"/>
    <w:rsid w:val="009B6519"/>
    <w:rsid w:val="009B6C65"/>
    <w:rsid w:val="009B7836"/>
    <w:rsid w:val="009C164A"/>
    <w:rsid w:val="009D0A18"/>
    <w:rsid w:val="009D17E4"/>
    <w:rsid w:val="009D5A93"/>
    <w:rsid w:val="009D5BA5"/>
    <w:rsid w:val="009D64E2"/>
    <w:rsid w:val="009D6BF5"/>
    <w:rsid w:val="009E0276"/>
    <w:rsid w:val="009E25B6"/>
    <w:rsid w:val="009E2A29"/>
    <w:rsid w:val="009E5F33"/>
    <w:rsid w:val="009E6791"/>
    <w:rsid w:val="009E7510"/>
    <w:rsid w:val="009F02C1"/>
    <w:rsid w:val="009F0BD2"/>
    <w:rsid w:val="009F1452"/>
    <w:rsid w:val="009F1BF8"/>
    <w:rsid w:val="009F1C9C"/>
    <w:rsid w:val="009F250C"/>
    <w:rsid w:val="009F275E"/>
    <w:rsid w:val="009F434C"/>
    <w:rsid w:val="009F7D34"/>
    <w:rsid w:val="00A00E7B"/>
    <w:rsid w:val="00A02520"/>
    <w:rsid w:val="00A02BAA"/>
    <w:rsid w:val="00A107BD"/>
    <w:rsid w:val="00A10D56"/>
    <w:rsid w:val="00A1218E"/>
    <w:rsid w:val="00A12C39"/>
    <w:rsid w:val="00A13A13"/>
    <w:rsid w:val="00A15326"/>
    <w:rsid w:val="00A16CEC"/>
    <w:rsid w:val="00A26C91"/>
    <w:rsid w:val="00A26E9C"/>
    <w:rsid w:val="00A318E2"/>
    <w:rsid w:val="00A33F58"/>
    <w:rsid w:val="00A36055"/>
    <w:rsid w:val="00A40BC8"/>
    <w:rsid w:val="00A4369D"/>
    <w:rsid w:val="00A43B19"/>
    <w:rsid w:val="00A4472E"/>
    <w:rsid w:val="00A46D31"/>
    <w:rsid w:val="00A47EA4"/>
    <w:rsid w:val="00A503E5"/>
    <w:rsid w:val="00A509FD"/>
    <w:rsid w:val="00A53F03"/>
    <w:rsid w:val="00A53FF0"/>
    <w:rsid w:val="00A54456"/>
    <w:rsid w:val="00A5471E"/>
    <w:rsid w:val="00A551D7"/>
    <w:rsid w:val="00A55B27"/>
    <w:rsid w:val="00A55BDA"/>
    <w:rsid w:val="00A60C43"/>
    <w:rsid w:val="00A64596"/>
    <w:rsid w:val="00A67BE2"/>
    <w:rsid w:val="00A74820"/>
    <w:rsid w:val="00A76E41"/>
    <w:rsid w:val="00A776BC"/>
    <w:rsid w:val="00A8105F"/>
    <w:rsid w:val="00A81465"/>
    <w:rsid w:val="00A833A7"/>
    <w:rsid w:val="00A86AB0"/>
    <w:rsid w:val="00A87262"/>
    <w:rsid w:val="00A90F79"/>
    <w:rsid w:val="00A93929"/>
    <w:rsid w:val="00A9509B"/>
    <w:rsid w:val="00A963E4"/>
    <w:rsid w:val="00A97C90"/>
    <w:rsid w:val="00AA15A6"/>
    <w:rsid w:val="00AA182F"/>
    <w:rsid w:val="00AA3F58"/>
    <w:rsid w:val="00AA4870"/>
    <w:rsid w:val="00AA6B5D"/>
    <w:rsid w:val="00AB1D83"/>
    <w:rsid w:val="00AB5668"/>
    <w:rsid w:val="00AB587E"/>
    <w:rsid w:val="00AB6697"/>
    <w:rsid w:val="00AC0CA3"/>
    <w:rsid w:val="00AC24D8"/>
    <w:rsid w:val="00AC2F0E"/>
    <w:rsid w:val="00AC6B22"/>
    <w:rsid w:val="00AD13AD"/>
    <w:rsid w:val="00AE08D3"/>
    <w:rsid w:val="00AE225B"/>
    <w:rsid w:val="00AE46A4"/>
    <w:rsid w:val="00AE535D"/>
    <w:rsid w:val="00AE69CE"/>
    <w:rsid w:val="00AF08E9"/>
    <w:rsid w:val="00AF0B26"/>
    <w:rsid w:val="00AF2165"/>
    <w:rsid w:val="00AF6826"/>
    <w:rsid w:val="00B00877"/>
    <w:rsid w:val="00B02697"/>
    <w:rsid w:val="00B0719C"/>
    <w:rsid w:val="00B14CC8"/>
    <w:rsid w:val="00B17240"/>
    <w:rsid w:val="00B234C1"/>
    <w:rsid w:val="00B248CE"/>
    <w:rsid w:val="00B24E37"/>
    <w:rsid w:val="00B25020"/>
    <w:rsid w:val="00B256C8"/>
    <w:rsid w:val="00B256F6"/>
    <w:rsid w:val="00B272EE"/>
    <w:rsid w:val="00B302A1"/>
    <w:rsid w:val="00B31FCC"/>
    <w:rsid w:val="00B3557A"/>
    <w:rsid w:val="00B3740D"/>
    <w:rsid w:val="00B3776F"/>
    <w:rsid w:val="00B418AB"/>
    <w:rsid w:val="00B41ACE"/>
    <w:rsid w:val="00B4291F"/>
    <w:rsid w:val="00B42B7C"/>
    <w:rsid w:val="00B42F55"/>
    <w:rsid w:val="00B46CA3"/>
    <w:rsid w:val="00B5591E"/>
    <w:rsid w:val="00B565C7"/>
    <w:rsid w:val="00B56F47"/>
    <w:rsid w:val="00B608C5"/>
    <w:rsid w:val="00B61CEF"/>
    <w:rsid w:val="00B657D7"/>
    <w:rsid w:val="00B659E9"/>
    <w:rsid w:val="00B677D1"/>
    <w:rsid w:val="00B7130A"/>
    <w:rsid w:val="00B71CA8"/>
    <w:rsid w:val="00B753C1"/>
    <w:rsid w:val="00B82CCF"/>
    <w:rsid w:val="00B83052"/>
    <w:rsid w:val="00B8677C"/>
    <w:rsid w:val="00B90FC3"/>
    <w:rsid w:val="00B92387"/>
    <w:rsid w:val="00B9395A"/>
    <w:rsid w:val="00B93A38"/>
    <w:rsid w:val="00B95280"/>
    <w:rsid w:val="00B9638C"/>
    <w:rsid w:val="00BA5133"/>
    <w:rsid w:val="00BA5885"/>
    <w:rsid w:val="00BA59F6"/>
    <w:rsid w:val="00BA6774"/>
    <w:rsid w:val="00BB0763"/>
    <w:rsid w:val="00BB0E01"/>
    <w:rsid w:val="00BB1CB2"/>
    <w:rsid w:val="00BB21F1"/>
    <w:rsid w:val="00BB4264"/>
    <w:rsid w:val="00BB4B2D"/>
    <w:rsid w:val="00BB6099"/>
    <w:rsid w:val="00BB6BDE"/>
    <w:rsid w:val="00BB702A"/>
    <w:rsid w:val="00BC0FBE"/>
    <w:rsid w:val="00BC1D98"/>
    <w:rsid w:val="00BC3F50"/>
    <w:rsid w:val="00BD324F"/>
    <w:rsid w:val="00BD3603"/>
    <w:rsid w:val="00BD702A"/>
    <w:rsid w:val="00BE0161"/>
    <w:rsid w:val="00BE1766"/>
    <w:rsid w:val="00BE3275"/>
    <w:rsid w:val="00BE36C6"/>
    <w:rsid w:val="00BE5F84"/>
    <w:rsid w:val="00BF0DFB"/>
    <w:rsid w:val="00BF14CF"/>
    <w:rsid w:val="00BF48F2"/>
    <w:rsid w:val="00BF648F"/>
    <w:rsid w:val="00C00A12"/>
    <w:rsid w:val="00C01354"/>
    <w:rsid w:val="00C02E08"/>
    <w:rsid w:val="00C04FEC"/>
    <w:rsid w:val="00C05052"/>
    <w:rsid w:val="00C0544C"/>
    <w:rsid w:val="00C064AA"/>
    <w:rsid w:val="00C10643"/>
    <w:rsid w:val="00C15609"/>
    <w:rsid w:val="00C16EAB"/>
    <w:rsid w:val="00C23757"/>
    <w:rsid w:val="00C2432E"/>
    <w:rsid w:val="00C25332"/>
    <w:rsid w:val="00C25933"/>
    <w:rsid w:val="00C27C2B"/>
    <w:rsid w:val="00C32F04"/>
    <w:rsid w:val="00C3318C"/>
    <w:rsid w:val="00C34F6D"/>
    <w:rsid w:val="00C3720A"/>
    <w:rsid w:val="00C41DCA"/>
    <w:rsid w:val="00C45720"/>
    <w:rsid w:val="00C51934"/>
    <w:rsid w:val="00C549B2"/>
    <w:rsid w:val="00C55715"/>
    <w:rsid w:val="00C56FA8"/>
    <w:rsid w:val="00C61C00"/>
    <w:rsid w:val="00C62802"/>
    <w:rsid w:val="00C6346F"/>
    <w:rsid w:val="00C73DB2"/>
    <w:rsid w:val="00C75067"/>
    <w:rsid w:val="00C802CF"/>
    <w:rsid w:val="00C830BD"/>
    <w:rsid w:val="00C84E19"/>
    <w:rsid w:val="00C85194"/>
    <w:rsid w:val="00C95F53"/>
    <w:rsid w:val="00C97F3E"/>
    <w:rsid w:val="00CA00FB"/>
    <w:rsid w:val="00CA0715"/>
    <w:rsid w:val="00CA11BC"/>
    <w:rsid w:val="00CA1CD2"/>
    <w:rsid w:val="00CA39D0"/>
    <w:rsid w:val="00CA48E6"/>
    <w:rsid w:val="00CA4E7E"/>
    <w:rsid w:val="00CA67C6"/>
    <w:rsid w:val="00CB14B8"/>
    <w:rsid w:val="00CB262F"/>
    <w:rsid w:val="00CB39DC"/>
    <w:rsid w:val="00CB40B4"/>
    <w:rsid w:val="00CB4939"/>
    <w:rsid w:val="00CB5977"/>
    <w:rsid w:val="00CB5E07"/>
    <w:rsid w:val="00CB5FDB"/>
    <w:rsid w:val="00CC36CA"/>
    <w:rsid w:val="00CC6EF3"/>
    <w:rsid w:val="00CC7A2E"/>
    <w:rsid w:val="00CC7AEB"/>
    <w:rsid w:val="00CD27CB"/>
    <w:rsid w:val="00CD478B"/>
    <w:rsid w:val="00CD6BE5"/>
    <w:rsid w:val="00CD77F5"/>
    <w:rsid w:val="00CD7CD7"/>
    <w:rsid w:val="00CD7DD7"/>
    <w:rsid w:val="00CE0245"/>
    <w:rsid w:val="00CE47BF"/>
    <w:rsid w:val="00CE76D0"/>
    <w:rsid w:val="00CF43D3"/>
    <w:rsid w:val="00CF4997"/>
    <w:rsid w:val="00CF7256"/>
    <w:rsid w:val="00CF75BB"/>
    <w:rsid w:val="00D03579"/>
    <w:rsid w:val="00D04FCE"/>
    <w:rsid w:val="00D11D9E"/>
    <w:rsid w:val="00D13247"/>
    <w:rsid w:val="00D1341B"/>
    <w:rsid w:val="00D13E31"/>
    <w:rsid w:val="00D16614"/>
    <w:rsid w:val="00D2127E"/>
    <w:rsid w:val="00D228D1"/>
    <w:rsid w:val="00D22DFA"/>
    <w:rsid w:val="00D24B8C"/>
    <w:rsid w:val="00D26AA8"/>
    <w:rsid w:val="00D27019"/>
    <w:rsid w:val="00D315DA"/>
    <w:rsid w:val="00D3317F"/>
    <w:rsid w:val="00D360BE"/>
    <w:rsid w:val="00D40BC5"/>
    <w:rsid w:val="00D40F06"/>
    <w:rsid w:val="00D44057"/>
    <w:rsid w:val="00D44B67"/>
    <w:rsid w:val="00D44E81"/>
    <w:rsid w:val="00D4599E"/>
    <w:rsid w:val="00D47576"/>
    <w:rsid w:val="00D479E8"/>
    <w:rsid w:val="00D542F2"/>
    <w:rsid w:val="00D5493C"/>
    <w:rsid w:val="00D56F9B"/>
    <w:rsid w:val="00D61162"/>
    <w:rsid w:val="00D61BD1"/>
    <w:rsid w:val="00D631BE"/>
    <w:rsid w:val="00D635C4"/>
    <w:rsid w:val="00D65D0C"/>
    <w:rsid w:val="00D66AE2"/>
    <w:rsid w:val="00D66B0F"/>
    <w:rsid w:val="00D671EA"/>
    <w:rsid w:val="00D72C3B"/>
    <w:rsid w:val="00D74180"/>
    <w:rsid w:val="00D744B4"/>
    <w:rsid w:val="00D7549F"/>
    <w:rsid w:val="00D77416"/>
    <w:rsid w:val="00D774D4"/>
    <w:rsid w:val="00D7757D"/>
    <w:rsid w:val="00D8023F"/>
    <w:rsid w:val="00D80950"/>
    <w:rsid w:val="00D8348B"/>
    <w:rsid w:val="00D868F2"/>
    <w:rsid w:val="00D86FDE"/>
    <w:rsid w:val="00D8757C"/>
    <w:rsid w:val="00D908D3"/>
    <w:rsid w:val="00D90C19"/>
    <w:rsid w:val="00D91C36"/>
    <w:rsid w:val="00D94AE6"/>
    <w:rsid w:val="00D94BB9"/>
    <w:rsid w:val="00D95048"/>
    <w:rsid w:val="00DA1AE4"/>
    <w:rsid w:val="00DA283C"/>
    <w:rsid w:val="00DA437B"/>
    <w:rsid w:val="00DA78D7"/>
    <w:rsid w:val="00DB0831"/>
    <w:rsid w:val="00DB1859"/>
    <w:rsid w:val="00DB1D37"/>
    <w:rsid w:val="00DB3A56"/>
    <w:rsid w:val="00DB6FE7"/>
    <w:rsid w:val="00DC1D00"/>
    <w:rsid w:val="00DC2A9F"/>
    <w:rsid w:val="00DC552D"/>
    <w:rsid w:val="00DC7B47"/>
    <w:rsid w:val="00DD1A5C"/>
    <w:rsid w:val="00DD1F41"/>
    <w:rsid w:val="00DD34E5"/>
    <w:rsid w:val="00DD3639"/>
    <w:rsid w:val="00DD4360"/>
    <w:rsid w:val="00DD6DD7"/>
    <w:rsid w:val="00DD6FD2"/>
    <w:rsid w:val="00DE1373"/>
    <w:rsid w:val="00DE21B5"/>
    <w:rsid w:val="00DE2EF0"/>
    <w:rsid w:val="00DE5A74"/>
    <w:rsid w:val="00DF0EBB"/>
    <w:rsid w:val="00DF22C3"/>
    <w:rsid w:val="00DF298C"/>
    <w:rsid w:val="00DF40A0"/>
    <w:rsid w:val="00DF4135"/>
    <w:rsid w:val="00DF5A45"/>
    <w:rsid w:val="00DF6369"/>
    <w:rsid w:val="00DF693A"/>
    <w:rsid w:val="00E0259E"/>
    <w:rsid w:val="00E0287C"/>
    <w:rsid w:val="00E0318A"/>
    <w:rsid w:val="00E04CC3"/>
    <w:rsid w:val="00E1000C"/>
    <w:rsid w:val="00E10BFF"/>
    <w:rsid w:val="00E1186D"/>
    <w:rsid w:val="00E1484A"/>
    <w:rsid w:val="00E152C9"/>
    <w:rsid w:val="00E2020D"/>
    <w:rsid w:val="00E21A06"/>
    <w:rsid w:val="00E2576F"/>
    <w:rsid w:val="00E30197"/>
    <w:rsid w:val="00E30704"/>
    <w:rsid w:val="00E30B21"/>
    <w:rsid w:val="00E344E1"/>
    <w:rsid w:val="00E34784"/>
    <w:rsid w:val="00E42B97"/>
    <w:rsid w:val="00E46AF8"/>
    <w:rsid w:val="00E5409A"/>
    <w:rsid w:val="00E5458F"/>
    <w:rsid w:val="00E61333"/>
    <w:rsid w:val="00E6159D"/>
    <w:rsid w:val="00E62805"/>
    <w:rsid w:val="00E67AB7"/>
    <w:rsid w:val="00E743FC"/>
    <w:rsid w:val="00E760DC"/>
    <w:rsid w:val="00E772BA"/>
    <w:rsid w:val="00E80BCE"/>
    <w:rsid w:val="00E80EFF"/>
    <w:rsid w:val="00E81CF1"/>
    <w:rsid w:val="00E82532"/>
    <w:rsid w:val="00E855FA"/>
    <w:rsid w:val="00E85BD7"/>
    <w:rsid w:val="00E85F4F"/>
    <w:rsid w:val="00E87612"/>
    <w:rsid w:val="00E905AE"/>
    <w:rsid w:val="00E92ACD"/>
    <w:rsid w:val="00E974A2"/>
    <w:rsid w:val="00E974F5"/>
    <w:rsid w:val="00EA0415"/>
    <w:rsid w:val="00EA5AB5"/>
    <w:rsid w:val="00EA5D6A"/>
    <w:rsid w:val="00EA6950"/>
    <w:rsid w:val="00EB57E9"/>
    <w:rsid w:val="00EC05E9"/>
    <w:rsid w:val="00EC2A61"/>
    <w:rsid w:val="00EC2D7F"/>
    <w:rsid w:val="00EC614F"/>
    <w:rsid w:val="00EC6556"/>
    <w:rsid w:val="00ED1FD7"/>
    <w:rsid w:val="00ED3275"/>
    <w:rsid w:val="00ED3A25"/>
    <w:rsid w:val="00ED5234"/>
    <w:rsid w:val="00ED5C41"/>
    <w:rsid w:val="00EE1152"/>
    <w:rsid w:val="00EE2474"/>
    <w:rsid w:val="00EF28C5"/>
    <w:rsid w:val="00EF324E"/>
    <w:rsid w:val="00EF349C"/>
    <w:rsid w:val="00EF39B2"/>
    <w:rsid w:val="00EF39ED"/>
    <w:rsid w:val="00F021CF"/>
    <w:rsid w:val="00F05B0F"/>
    <w:rsid w:val="00F12BB0"/>
    <w:rsid w:val="00F13DE3"/>
    <w:rsid w:val="00F13E79"/>
    <w:rsid w:val="00F16AF2"/>
    <w:rsid w:val="00F17BAE"/>
    <w:rsid w:val="00F2001D"/>
    <w:rsid w:val="00F20029"/>
    <w:rsid w:val="00F2201F"/>
    <w:rsid w:val="00F23852"/>
    <w:rsid w:val="00F24D86"/>
    <w:rsid w:val="00F318B8"/>
    <w:rsid w:val="00F323B7"/>
    <w:rsid w:val="00F33B15"/>
    <w:rsid w:val="00F341B8"/>
    <w:rsid w:val="00F36AB5"/>
    <w:rsid w:val="00F417A3"/>
    <w:rsid w:val="00F42B7E"/>
    <w:rsid w:val="00F42C82"/>
    <w:rsid w:val="00F42EDB"/>
    <w:rsid w:val="00F44275"/>
    <w:rsid w:val="00F46C0C"/>
    <w:rsid w:val="00F5064E"/>
    <w:rsid w:val="00F55B72"/>
    <w:rsid w:val="00F6056C"/>
    <w:rsid w:val="00F60CB5"/>
    <w:rsid w:val="00F61581"/>
    <w:rsid w:val="00F62E7F"/>
    <w:rsid w:val="00F63BB9"/>
    <w:rsid w:val="00F658B9"/>
    <w:rsid w:val="00F67DBB"/>
    <w:rsid w:val="00F700AA"/>
    <w:rsid w:val="00F718B0"/>
    <w:rsid w:val="00F73A71"/>
    <w:rsid w:val="00F767D8"/>
    <w:rsid w:val="00F77D48"/>
    <w:rsid w:val="00F8293E"/>
    <w:rsid w:val="00F82BD4"/>
    <w:rsid w:val="00F84C94"/>
    <w:rsid w:val="00F87311"/>
    <w:rsid w:val="00F90BB6"/>
    <w:rsid w:val="00F915D1"/>
    <w:rsid w:val="00F91939"/>
    <w:rsid w:val="00F93E86"/>
    <w:rsid w:val="00F9576D"/>
    <w:rsid w:val="00F95F0C"/>
    <w:rsid w:val="00F9732F"/>
    <w:rsid w:val="00FA0E7F"/>
    <w:rsid w:val="00FA3548"/>
    <w:rsid w:val="00FA4B38"/>
    <w:rsid w:val="00FA50EB"/>
    <w:rsid w:val="00FA6DC0"/>
    <w:rsid w:val="00FA7EB1"/>
    <w:rsid w:val="00FB1CEC"/>
    <w:rsid w:val="00FB419B"/>
    <w:rsid w:val="00FB46DC"/>
    <w:rsid w:val="00FB6F9F"/>
    <w:rsid w:val="00FB7A48"/>
    <w:rsid w:val="00FC12FE"/>
    <w:rsid w:val="00FC1489"/>
    <w:rsid w:val="00FC3441"/>
    <w:rsid w:val="00FC3BA3"/>
    <w:rsid w:val="00FD1ED3"/>
    <w:rsid w:val="00FD6C28"/>
    <w:rsid w:val="00FE1287"/>
    <w:rsid w:val="00FE310B"/>
    <w:rsid w:val="00FE39B9"/>
    <w:rsid w:val="00FE6AD7"/>
    <w:rsid w:val="00FF1BA9"/>
    <w:rsid w:val="00FF5290"/>
    <w:rsid w:val="00FF60DC"/>
    <w:rsid w:val="019C3A88"/>
    <w:rsid w:val="02287D7E"/>
    <w:rsid w:val="030E6553"/>
    <w:rsid w:val="03960557"/>
    <w:rsid w:val="03C84930"/>
    <w:rsid w:val="03DF7E09"/>
    <w:rsid w:val="03E67E90"/>
    <w:rsid w:val="043613A4"/>
    <w:rsid w:val="04615143"/>
    <w:rsid w:val="04754202"/>
    <w:rsid w:val="048320BB"/>
    <w:rsid w:val="04B563C2"/>
    <w:rsid w:val="05531A54"/>
    <w:rsid w:val="05E53AA2"/>
    <w:rsid w:val="05F92C68"/>
    <w:rsid w:val="0620235A"/>
    <w:rsid w:val="06571B7A"/>
    <w:rsid w:val="06B10ACD"/>
    <w:rsid w:val="06C25923"/>
    <w:rsid w:val="071D11C9"/>
    <w:rsid w:val="077111CE"/>
    <w:rsid w:val="0772575A"/>
    <w:rsid w:val="07DA3A8F"/>
    <w:rsid w:val="08316975"/>
    <w:rsid w:val="089D7C92"/>
    <w:rsid w:val="09C92DD3"/>
    <w:rsid w:val="09CF6E4B"/>
    <w:rsid w:val="0AB4609E"/>
    <w:rsid w:val="0ADE415D"/>
    <w:rsid w:val="0BD554C2"/>
    <w:rsid w:val="0C63073D"/>
    <w:rsid w:val="0C7318E1"/>
    <w:rsid w:val="0CCF6888"/>
    <w:rsid w:val="0D0C188A"/>
    <w:rsid w:val="0DD71E98"/>
    <w:rsid w:val="0E43752E"/>
    <w:rsid w:val="0F121EF0"/>
    <w:rsid w:val="101038B6"/>
    <w:rsid w:val="10196798"/>
    <w:rsid w:val="11304CEB"/>
    <w:rsid w:val="118916FB"/>
    <w:rsid w:val="11AF4DCB"/>
    <w:rsid w:val="11CB238C"/>
    <w:rsid w:val="11DF1890"/>
    <w:rsid w:val="126A6425"/>
    <w:rsid w:val="127E6D86"/>
    <w:rsid w:val="12955111"/>
    <w:rsid w:val="12B427A8"/>
    <w:rsid w:val="12CC6E6D"/>
    <w:rsid w:val="13806E42"/>
    <w:rsid w:val="140E7482"/>
    <w:rsid w:val="1440520B"/>
    <w:rsid w:val="14654E7D"/>
    <w:rsid w:val="14737EE6"/>
    <w:rsid w:val="149063EC"/>
    <w:rsid w:val="151A0368"/>
    <w:rsid w:val="171071EA"/>
    <w:rsid w:val="174F62D6"/>
    <w:rsid w:val="17EE77F0"/>
    <w:rsid w:val="180F7034"/>
    <w:rsid w:val="183A0A1F"/>
    <w:rsid w:val="187A1D9E"/>
    <w:rsid w:val="18D56A9E"/>
    <w:rsid w:val="19006747"/>
    <w:rsid w:val="190525BE"/>
    <w:rsid w:val="198C1D89"/>
    <w:rsid w:val="19C23937"/>
    <w:rsid w:val="1A342318"/>
    <w:rsid w:val="1A9E3268"/>
    <w:rsid w:val="1B74013C"/>
    <w:rsid w:val="1BCA1848"/>
    <w:rsid w:val="1C762227"/>
    <w:rsid w:val="1CDC3027"/>
    <w:rsid w:val="1CFA34AD"/>
    <w:rsid w:val="1D9F120E"/>
    <w:rsid w:val="1E0D2BED"/>
    <w:rsid w:val="1E591AD6"/>
    <w:rsid w:val="1E7B37A5"/>
    <w:rsid w:val="1EA44D1C"/>
    <w:rsid w:val="1EB0258C"/>
    <w:rsid w:val="1ECD2D49"/>
    <w:rsid w:val="1F14499E"/>
    <w:rsid w:val="1F5B26C7"/>
    <w:rsid w:val="1F5C044F"/>
    <w:rsid w:val="1FF450C0"/>
    <w:rsid w:val="203A4DF7"/>
    <w:rsid w:val="20793160"/>
    <w:rsid w:val="21430A11"/>
    <w:rsid w:val="215A4BDB"/>
    <w:rsid w:val="21962D82"/>
    <w:rsid w:val="219D221A"/>
    <w:rsid w:val="21AB33D9"/>
    <w:rsid w:val="223A41F0"/>
    <w:rsid w:val="224109E7"/>
    <w:rsid w:val="224F2695"/>
    <w:rsid w:val="22CA56D0"/>
    <w:rsid w:val="22EB689E"/>
    <w:rsid w:val="235E2371"/>
    <w:rsid w:val="248F38ED"/>
    <w:rsid w:val="249C2E00"/>
    <w:rsid w:val="24B147FA"/>
    <w:rsid w:val="251F5A1E"/>
    <w:rsid w:val="274160AD"/>
    <w:rsid w:val="27F62AEE"/>
    <w:rsid w:val="283223CC"/>
    <w:rsid w:val="2866365B"/>
    <w:rsid w:val="28E50C7F"/>
    <w:rsid w:val="28EB2659"/>
    <w:rsid w:val="28EC345C"/>
    <w:rsid w:val="29202FD3"/>
    <w:rsid w:val="2A44220C"/>
    <w:rsid w:val="2AB14810"/>
    <w:rsid w:val="2AD3072D"/>
    <w:rsid w:val="2B6C7C6C"/>
    <w:rsid w:val="2BDD6474"/>
    <w:rsid w:val="2C0B54C5"/>
    <w:rsid w:val="2C292017"/>
    <w:rsid w:val="2CAC4BA2"/>
    <w:rsid w:val="2CB35C78"/>
    <w:rsid w:val="2CF23FA9"/>
    <w:rsid w:val="2CF40890"/>
    <w:rsid w:val="2D1719A4"/>
    <w:rsid w:val="2DDE509E"/>
    <w:rsid w:val="2F204A26"/>
    <w:rsid w:val="2F3045A4"/>
    <w:rsid w:val="2F567AA0"/>
    <w:rsid w:val="301645BB"/>
    <w:rsid w:val="30302844"/>
    <w:rsid w:val="30654C8A"/>
    <w:rsid w:val="309F5392"/>
    <w:rsid w:val="30B4367E"/>
    <w:rsid w:val="3161171F"/>
    <w:rsid w:val="319A28B2"/>
    <w:rsid w:val="3276083D"/>
    <w:rsid w:val="329A3661"/>
    <w:rsid w:val="32D16C5C"/>
    <w:rsid w:val="339B19D0"/>
    <w:rsid w:val="33EE2317"/>
    <w:rsid w:val="3508551A"/>
    <w:rsid w:val="359C0F7A"/>
    <w:rsid w:val="35E113E3"/>
    <w:rsid w:val="370B120F"/>
    <w:rsid w:val="37776170"/>
    <w:rsid w:val="37781747"/>
    <w:rsid w:val="37847CCD"/>
    <w:rsid w:val="378B37C3"/>
    <w:rsid w:val="37CD2E49"/>
    <w:rsid w:val="381C1DAF"/>
    <w:rsid w:val="382B35B4"/>
    <w:rsid w:val="3941563D"/>
    <w:rsid w:val="3AE332B3"/>
    <w:rsid w:val="3B071D45"/>
    <w:rsid w:val="3BB54959"/>
    <w:rsid w:val="3C8C247C"/>
    <w:rsid w:val="3D514278"/>
    <w:rsid w:val="3D65545B"/>
    <w:rsid w:val="3DFB2CDF"/>
    <w:rsid w:val="3E7C6D69"/>
    <w:rsid w:val="3EB83A8B"/>
    <w:rsid w:val="3EE51A3E"/>
    <w:rsid w:val="3F4D512E"/>
    <w:rsid w:val="3FA119B7"/>
    <w:rsid w:val="40177DE3"/>
    <w:rsid w:val="407A192C"/>
    <w:rsid w:val="417A1877"/>
    <w:rsid w:val="4186089B"/>
    <w:rsid w:val="42654E02"/>
    <w:rsid w:val="427C0258"/>
    <w:rsid w:val="42EF614C"/>
    <w:rsid w:val="432253DD"/>
    <w:rsid w:val="43863DDA"/>
    <w:rsid w:val="43D011EA"/>
    <w:rsid w:val="441477C8"/>
    <w:rsid w:val="444939F2"/>
    <w:rsid w:val="44557E80"/>
    <w:rsid w:val="4473408E"/>
    <w:rsid w:val="45551365"/>
    <w:rsid w:val="45CD7101"/>
    <w:rsid w:val="46484442"/>
    <w:rsid w:val="476F66C2"/>
    <w:rsid w:val="47B01446"/>
    <w:rsid w:val="47CC27EE"/>
    <w:rsid w:val="480C3F11"/>
    <w:rsid w:val="482809DA"/>
    <w:rsid w:val="491E1806"/>
    <w:rsid w:val="496B47B7"/>
    <w:rsid w:val="4A0B7731"/>
    <w:rsid w:val="4A9A751F"/>
    <w:rsid w:val="4AB8212E"/>
    <w:rsid w:val="4AC05A5A"/>
    <w:rsid w:val="4AE10089"/>
    <w:rsid w:val="4B022328"/>
    <w:rsid w:val="4B384AFB"/>
    <w:rsid w:val="4B3A3DE4"/>
    <w:rsid w:val="4B6217B9"/>
    <w:rsid w:val="4B701FD3"/>
    <w:rsid w:val="4B77032C"/>
    <w:rsid w:val="4BCA4DC2"/>
    <w:rsid w:val="4BD125AC"/>
    <w:rsid w:val="4BD340D8"/>
    <w:rsid w:val="4C360546"/>
    <w:rsid w:val="4CFF75D5"/>
    <w:rsid w:val="4DAE5F5E"/>
    <w:rsid w:val="4E6B5729"/>
    <w:rsid w:val="4EA404FD"/>
    <w:rsid w:val="4FA56487"/>
    <w:rsid w:val="4FC44EDC"/>
    <w:rsid w:val="4FF051A0"/>
    <w:rsid w:val="50141FA4"/>
    <w:rsid w:val="507506FE"/>
    <w:rsid w:val="50D954C3"/>
    <w:rsid w:val="50FE2791"/>
    <w:rsid w:val="51752B27"/>
    <w:rsid w:val="52C12FB4"/>
    <w:rsid w:val="53307DE8"/>
    <w:rsid w:val="535B5D4C"/>
    <w:rsid w:val="53866EE0"/>
    <w:rsid w:val="538F587F"/>
    <w:rsid w:val="544E2FF3"/>
    <w:rsid w:val="54791DE5"/>
    <w:rsid w:val="55D63612"/>
    <w:rsid w:val="56C113D0"/>
    <w:rsid w:val="56CB143B"/>
    <w:rsid w:val="57E05BE1"/>
    <w:rsid w:val="58346A24"/>
    <w:rsid w:val="58F72073"/>
    <w:rsid w:val="59464DA9"/>
    <w:rsid w:val="59654F1B"/>
    <w:rsid w:val="59F82547"/>
    <w:rsid w:val="5A8E6B50"/>
    <w:rsid w:val="5B526E3B"/>
    <w:rsid w:val="5BB02719"/>
    <w:rsid w:val="5D176670"/>
    <w:rsid w:val="5DB42246"/>
    <w:rsid w:val="5DBC1ADE"/>
    <w:rsid w:val="5E0D2C7D"/>
    <w:rsid w:val="5E2C755E"/>
    <w:rsid w:val="5E4A6AF2"/>
    <w:rsid w:val="5EFB5FCF"/>
    <w:rsid w:val="5F185E67"/>
    <w:rsid w:val="5F912EFC"/>
    <w:rsid w:val="5FA752A4"/>
    <w:rsid w:val="60032F94"/>
    <w:rsid w:val="60532394"/>
    <w:rsid w:val="605C4EB2"/>
    <w:rsid w:val="609346F9"/>
    <w:rsid w:val="60976762"/>
    <w:rsid w:val="60E87DCD"/>
    <w:rsid w:val="615674ED"/>
    <w:rsid w:val="62202150"/>
    <w:rsid w:val="62255EA3"/>
    <w:rsid w:val="635001EF"/>
    <w:rsid w:val="637048DB"/>
    <w:rsid w:val="63D0272B"/>
    <w:rsid w:val="64834717"/>
    <w:rsid w:val="64AA146F"/>
    <w:rsid w:val="64F629E2"/>
    <w:rsid w:val="650B1EAB"/>
    <w:rsid w:val="65335497"/>
    <w:rsid w:val="65431800"/>
    <w:rsid w:val="659956F1"/>
    <w:rsid w:val="65D76172"/>
    <w:rsid w:val="66C77325"/>
    <w:rsid w:val="66CE3288"/>
    <w:rsid w:val="678673E4"/>
    <w:rsid w:val="68931D4F"/>
    <w:rsid w:val="68996CA3"/>
    <w:rsid w:val="68A662BF"/>
    <w:rsid w:val="68C6406F"/>
    <w:rsid w:val="6A1638AD"/>
    <w:rsid w:val="6A3944D6"/>
    <w:rsid w:val="6A411797"/>
    <w:rsid w:val="6B4551DF"/>
    <w:rsid w:val="6B9E2823"/>
    <w:rsid w:val="6BC935EB"/>
    <w:rsid w:val="6C1D59BA"/>
    <w:rsid w:val="6C992C34"/>
    <w:rsid w:val="6CA95923"/>
    <w:rsid w:val="6CDF45CD"/>
    <w:rsid w:val="6D7418A4"/>
    <w:rsid w:val="6D756958"/>
    <w:rsid w:val="6E3B0A20"/>
    <w:rsid w:val="70227EC6"/>
    <w:rsid w:val="71035C45"/>
    <w:rsid w:val="718323E3"/>
    <w:rsid w:val="718B3849"/>
    <w:rsid w:val="719A58E8"/>
    <w:rsid w:val="72E90ED3"/>
    <w:rsid w:val="73663647"/>
    <w:rsid w:val="7377015A"/>
    <w:rsid w:val="73966C01"/>
    <w:rsid w:val="739D2BFF"/>
    <w:rsid w:val="73B77D0C"/>
    <w:rsid w:val="73C37269"/>
    <w:rsid w:val="74027DBB"/>
    <w:rsid w:val="752419D7"/>
    <w:rsid w:val="7526130E"/>
    <w:rsid w:val="75A62E64"/>
    <w:rsid w:val="75B4228D"/>
    <w:rsid w:val="75BB53FD"/>
    <w:rsid w:val="75E96582"/>
    <w:rsid w:val="76470CAA"/>
    <w:rsid w:val="764D1082"/>
    <w:rsid w:val="766F2799"/>
    <w:rsid w:val="76FC63AD"/>
    <w:rsid w:val="772C5186"/>
    <w:rsid w:val="773B6256"/>
    <w:rsid w:val="774C0D1D"/>
    <w:rsid w:val="776D5ECB"/>
    <w:rsid w:val="77C569BE"/>
    <w:rsid w:val="780B7492"/>
    <w:rsid w:val="792C0FD8"/>
    <w:rsid w:val="7A3C0663"/>
    <w:rsid w:val="7AC758F2"/>
    <w:rsid w:val="7D07233B"/>
    <w:rsid w:val="7D1B6488"/>
    <w:rsid w:val="7D40391F"/>
    <w:rsid w:val="7DF96BCA"/>
    <w:rsid w:val="7E1251F4"/>
    <w:rsid w:val="7E1C2E5A"/>
    <w:rsid w:val="7E6416AA"/>
    <w:rsid w:val="7EE66F59"/>
    <w:rsid w:val="7F1A6E76"/>
    <w:rsid w:val="7F1F783D"/>
    <w:rsid w:val="7FAF396D"/>
    <w:rsid w:val="FDBD6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1" w:semiHidden="0"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2">
    <w:name w:val="heading 1"/>
    <w:basedOn w:val="1"/>
    <w:next w:val="1"/>
    <w:qFormat/>
    <w:uiPriority w:val="1"/>
    <w:pPr>
      <w:keepNext/>
      <w:keepLines/>
      <w:spacing w:before="340" w:after="330" w:line="576" w:lineRule="auto"/>
      <w:outlineLvl w:val="0"/>
    </w:pPr>
    <w:rPr>
      <w:b/>
      <w:kern w:val="44"/>
      <w:sz w:val="44"/>
    </w:rPr>
  </w:style>
  <w:style w:type="paragraph" w:styleId="3">
    <w:name w:val="heading 2"/>
    <w:basedOn w:val="1"/>
    <w:next w:val="1"/>
    <w:link w:val="3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4">
    <w:name w:val="heading 3"/>
    <w:basedOn w:val="1"/>
    <w:next w:val="1"/>
    <w:unhideWhenUsed/>
    <w:qFormat/>
    <w:uiPriority w:val="1"/>
    <w:pPr>
      <w:keepNext/>
      <w:keepLines/>
      <w:spacing w:before="260" w:after="260" w:line="413" w:lineRule="auto"/>
      <w:outlineLvl w:val="2"/>
    </w:pPr>
    <w:rPr>
      <w:b/>
      <w:sz w:val="32"/>
    </w:rPr>
  </w:style>
  <w:style w:type="paragraph" w:styleId="5">
    <w:name w:val="heading 4"/>
    <w:basedOn w:val="1"/>
    <w:next w:val="1"/>
    <w:link w:val="36"/>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4"/>
    <w:unhideWhenUsed/>
    <w:qFormat/>
    <w:uiPriority w:val="1"/>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qFormat/>
    <w:uiPriority w:val="0"/>
    <w:pPr>
      <w:spacing w:line="360" w:lineRule="auto"/>
      <w:ind w:firstLine="420" w:firstLineChars="200"/>
      <w:jc w:val="left"/>
    </w:pPr>
    <w:rPr>
      <w:rFonts w:ascii="仿宋_GB2312" w:hAnsi="Arial" w:eastAsia="仿宋_GB2312"/>
      <w:kern w:val="0"/>
      <w:sz w:val="30"/>
      <w:szCs w:val="30"/>
    </w:rPr>
  </w:style>
  <w:style w:type="paragraph" w:styleId="8">
    <w:name w:val="Body Text"/>
    <w:basedOn w:val="1"/>
    <w:link w:val="35"/>
    <w:unhideWhenUsed/>
    <w:qFormat/>
    <w:uiPriority w:val="1"/>
    <w:pPr>
      <w:spacing w:after="120"/>
    </w:pPr>
  </w:style>
  <w:style w:type="paragraph" w:styleId="9">
    <w:name w:val="annotation text"/>
    <w:basedOn w:val="1"/>
    <w:link w:val="27"/>
    <w:unhideWhenUsed/>
    <w:qFormat/>
    <w:uiPriority w:val="99"/>
    <w:pPr>
      <w:jc w:val="left"/>
    </w:pPr>
  </w:style>
  <w:style w:type="paragraph" w:styleId="10">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11">
    <w:name w:val="Balloon Text"/>
    <w:basedOn w:val="1"/>
    <w:link w:val="37"/>
    <w:semiHidden/>
    <w:unhideWhenUsed/>
    <w:qFormat/>
    <w:uiPriority w:val="99"/>
    <w:rPr>
      <w:sz w:val="18"/>
      <w:szCs w:val="18"/>
    </w:rPr>
  </w:style>
  <w:style w:type="paragraph" w:styleId="12">
    <w:name w:val="footer"/>
    <w:basedOn w:val="1"/>
    <w:link w:val="2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1"/>
    <w:basedOn w:val="1"/>
    <w:next w:val="1"/>
    <w:unhideWhenUsed/>
    <w:qFormat/>
    <w:uiPriority w:val="39"/>
    <w:pPr>
      <w:tabs>
        <w:tab w:val="right" w:leader="dot" w:pos="8714"/>
      </w:tabs>
      <w:spacing w:before="60" w:line="360" w:lineRule="auto"/>
      <w:ind w:left="200" w:leftChars="200"/>
      <w:jc w:val="left"/>
    </w:pPr>
    <w:rPr>
      <w:rFonts w:eastAsia="Helvetica" w:cs="Courier"/>
      <w:bCs/>
      <w:caps/>
      <w:sz w:val="30"/>
      <w:szCs w:val="20"/>
    </w:rPr>
  </w:style>
  <w:style w:type="paragraph" w:styleId="15">
    <w:name w:val="Subtitle"/>
    <w:basedOn w:val="1"/>
    <w:next w:val="1"/>
    <w:link w:val="30"/>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6">
    <w:name w:val="toc 2"/>
    <w:basedOn w:val="1"/>
    <w:next w:val="1"/>
    <w:unhideWhenUsed/>
    <w:qFormat/>
    <w:uiPriority w:val="39"/>
    <w:pPr>
      <w:tabs>
        <w:tab w:val="right" w:leader="dot" w:pos="8714"/>
      </w:tabs>
      <w:spacing w:line="360" w:lineRule="auto"/>
      <w:ind w:left="350" w:leftChars="350"/>
      <w:jc w:val="left"/>
    </w:pPr>
    <w:rPr>
      <w:rFonts w:eastAsia="Tms Rmn" w:cs="Courier"/>
      <w:smallCaps/>
      <w:sz w:val="30"/>
      <w:szCs w:val="20"/>
    </w:rPr>
  </w:style>
  <w:style w:type="paragraph" w:styleId="17">
    <w:name w:val="annotation subject"/>
    <w:basedOn w:val="9"/>
    <w:next w:val="9"/>
    <w:link w:val="28"/>
    <w:semiHidden/>
    <w:unhideWhenUsed/>
    <w:qFormat/>
    <w:uiPriority w:val="99"/>
    <w:rPr>
      <w:b/>
      <w:bCs/>
    </w:rPr>
  </w:style>
  <w:style w:type="paragraph" w:styleId="18">
    <w:name w:val="Body Text First Indent 2"/>
    <w:basedOn w:val="10"/>
    <w:qFormat/>
    <w:uiPriority w:val="0"/>
    <w:pPr>
      <w:ind w:firstLine="42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Hyperlink"/>
    <w:basedOn w:val="21"/>
    <w:unhideWhenUsed/>
    <w:qFormat/>
    <w:uiPriority w:val="99"/>
    <w:rPr>
      <w:color w:val="0563C1" w:themeColor="hyperlink"/>
      <w:u w:val="single"/>
      <w14:textFill>
        <w14:solidFill>
          <w14:schemeClr w14:val="hlink"/>
        </w14:solidFill>
      </w14:textFill>
    </w:rPr>
  </w:style>
  <w:style w:type="character" w:styleId="24">
    <w:name w:val="annotation reference"/>
    <w:basedOn w:val="21"/>
    <w:unhideWhenUsed/>
    <w:qFormat/>
    <w:uiPriority w:val="99"/>
    <w:rPr>
      <w:sz w:val="21"/>
      <w:szCs w:val="21"/>
    </w:rPr>
  </w:style>
  <w:style w:type="character" w:customStyle="1" w:styleId="25">
    <w:name w:val="页眉 Char"/>
    <w:basedOn w:val="21"/>
    <w:link w:val="13"/>
    <w:qFormat/>
    <w:uiPriority w:val="99"/>
    <w:rPr>
      <w:sz w:val="18"/>
      <w:szCs w:val="18"/>
    </w:rPr>
  </w:style>
  <w:style w:type="character" w:customStyle="1" w:styleId="26">
    <w:name w:val="页脚 Char"/>
    <w:basedOn w:val="21"/>
    <w:link w:val="12"/>
    <w:qFormat/>
    <w:uiPriority w:val="99"/>
    <w:rPr>
      <w:sz w:val="18"/>
      <w:szCs w:val="18"/>
    </w:rPr>
  </w:style>
  <w:style w:type="character" w:customStyle="1" w:styleId="27">
    <w:name w:val="批注文字 Char"/>
    <w:basedOn w:val="21"/>
    <w:link w:val="9"/>
    <w:qFormat/>
    <w:uiPriority w:val="99"/>
    <w:rPr>
      <w:rFonts w:ascii="Times New Roman" w:hAnsi="Times New Roman" w:eastAsia="Courier New" w:cs="Times New Roman"/>
      <w:szCs w:val="21"/>
    </w:rPr>
  </w:style>
  <w:style w:type="character" w:customStyle="1" w:styleId="28">
    <w:name w:val="批注主题 Char"/>
    <w:basedOn w:val="27"/>
    <w:link w:val="17"/>
    <w:semiHidden/>
    <w:qFormat/>
    <w:uiPriority w:val="99"/>
    <w:rPr>
      <w:rFonts w:ascii="Times New Roman" w:hAnsi="Times New Roman" w:eastAsia="Courier New" w:cs="Times New Roman"/>
      <w:b/>
      <w:bCs/>
      <w:szCs w:val="21"/>
    </w:rPr>
  </w:style>
  <w:style w:type="paragraph" w:customStyle="1" w:styleId="29">
    <w:name w:val="独立格式"/>
    <w:basedOn w:val="15"/>
    <w:qFormat/>
    <w:uiPriority w:val="1"/>
    <w:pPr>
      <w:spacing w:before="0" w:after="0" w:line="360" w:lineRule="auto"/>
      <w:outlineLvl w:val="9"/>
    </w:pPr>
    <w:rPr>
      <w:rFonts w:ascii="Times New Roman" w:hAnsi="Times New Roman" w:eastAsia="Tms Rmn" w:cs="Times New Roman"/>
      <w:b w:val="0"/>
      <w:bCs w:val="0"/>
      <w:kern w:val="2"/>
      <w:szCs w:val="52"/>
    </w:rPr>
  </w:style>
  <w:style w:type="character" w:customStyle="1" w:styleId="30">
    <w:name w:val="副标题 Char"/>
    <w:basedOn w:val="21"/>
    <w:link w:val="15"/>
    <w:qFormat/>
    <w:uiPriority w:val="11"/>
    <w:rPr>
      <w:b/>
      <w:bCs/>
      <w:kern w:val="28"/>
      <w:sz w:val="32"/>
      <w:szCs w:val="32"/>
    </w:rPr>
  </w:style>
  <w:style w:type="character" w:customStyle="1" w:styleId="31">
    <w:name w:val="标题 2 Char"/>
    <w:basedOn w:val="21"/>
    <w:link w:val="3"/>
    <w:qFormat/>
    <w:uiPriority w:val="9"/>
    <w:rPr>
      <w:rFonts w:ascii="Arial" w:hAnsi="Arial" w:eastAsia="Symbol" w:cs="Times New Roman"/>
      <w:b/>
      <w:bCs/>
      <w:sz w:val="32"/>
      <w:szCs w:val="32"/>
    </w:rPr>
  </w:style>
  <w:style w:type="paragraph" w:customStyle="1" w:styleId="32">
    <w:name w:val="表格名称"/>
    <w:basedOn w:val="1"/>
    <w:qFormat/>
    <w:uiPriority w:val="0"/>
    <w:pPr>
      <w:spacing w:line="360" w:lineRule="auto"/>
      <w:jc w:val="center"/>
    </w:pPr>
    <w:rPr>
      <w:rFonts w:eastAsia="Helv" w:cs="New York"/>
      <w:b/>
      <w:sz w:val="24"/>
      <w:szCs w:val="24"/>
    </w:rPr>
  </w:style>
  <w:style w:type="paragraph" w:customStyle="1" w:styleId="33">
    <w:name w:val="表格文字"/>
    <w:basedOn w:val="29"/>
    <w:next w:val="1"/>
    <w:qFormat/>
    <w:uiPriority w:val="0"/>
    <w:pPr>
      <w:spacing w:line="360" w:lineRule="exact"/>
    </w:pPr>
    <w:rPr>
      <w:rFonts w:eastAsia="Helv" w:cs="New York"/>
      <w:sz w:val="24"/>
    </w:rPr>
  </w:style>
  <w:style w:type="character" w:customStyle="1" w:styleId="34">
    <w:name w:val="标题 5 Char"/>
    <w:basedOn w:val="21"/>
    <w:link w:val="6"/>
    <w:semiHidden/>
    <w:qFormat/>
    <w:uiPriority w:val="9"/>
    <w:rPr>
      <w:rFonts w:ascii="Times New Roman" w:hAnsi="Times New Roman" w:eastAsia="Courier New" w:cs="Times New Roman"/>
      <w:b/>
      <w:bCs/>
      <w:sz w:val="28"/>
      <w:szCs w:val="28"/>
    </w:rPr>
  </w:style>
  <w:style w:type="character" w:customStyle="1" w:styleId="35">
    <w:name w:val="正文文本 Char"/>
    <w:basedOn w:val="21"/>
    <w:link w:val="8"/>
    <w:semiHidden/>
    <w:qFormat/>
    <w:uiPriority w:val="99"/>
    <w:rPr>
      <w:rFonts w:ascii="Times New Roman" w:hAnsi="Times New Roman" w:eastAsia="Courier New" w:cs="Times New Roman"/>
      <w:szCs w:val="21"/>
    </w:rPr>
  </w:style>
  <w:style w:type="character" w:customStyle="1" w:styleId="36">
    <w:name w:val="标题 4 Char"/>
    <w:basedOn w:val="21"/>
    <w:link w:val="5"/>
    <w:semiHidden/>
    <w:qFormat/>
    <w:uiPriority w:val="9"/>
    <w:rPr>
      <w:rFonts w:asciiTheme="majorHAnsi" w:hAnsiTheme="majorHAnsi" w:eastAsiaTheme="majorEastAsia" w:cstheme="majorBidi"/>
      <w:b/>
      <w:bCs/>
      <w:sz w:val="28"/>
      <w:szCs w:val="28"/>
    </w:rPr>
  </w:style>
  <w:style w:type="character" w:customStyle="1" w:styleId="37">
    <w:name w:val="批注框文本 Char"/>
    <w:basedOn w:val="21"/>
    <w:link w:val="11"/>
    <w:semiHidden/>
    <w:qFormat/>
    <w:uiPriority w:val="99"/>
    <w:rPr>
      <w:rFonts w:ascii="Times New Roman" w:hAnsi="Times New Roman" w:eastAsia="Courier New" w:cs="Times New Roman"/>
      <w:kern w:val="2"/>
      <w:sz w:val="18"/>
      <w:szCs w:val="18"/>
    </w:rPr>
  </w:style>
  <w:style w:type="table" w:customStyle="1" w:styleId="38">
    <w:name w:val="Table Normal"/>
    <w:semiHidden/>
    <w:unhideWhenUsed/>
    <w:qFormat/>
    <w:uiPriority w:val="2"/>
    <w:tblPr>
      <w:tblCellMar>
        <w:top w:w="0" w:type="dxa"/>
        <w:left w:w="0" w:type="dxa"/>
        <w:bottom w:w="0" w:type="dxa"/>
        <w:right w:w="0" w:type="dxa"/>
      </w:tblCellMar>
    </w:tblPr>
  </w:style>
  <w:style w:type="paragraph" w:styleId="39">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 w:type="paragraph" w:customStyle="1" w:styleId="40">
    <w:name w:val="Table Paragraph"/>
    <w:basedOn w:val="1"/>
    <w:qFormat/>
    <w:uiPriority w:val="1"/>
    <w:pPr>
      <w:autoSpaceDE w:val="0"/>
      <w:autoSpaceDN w:val="0"/>
      <w:jc w:val="left"/>
    </w:pPr>
    <w:rPr>
      <w:rFonts w:ascii="宋体" w:hAnsi="宋体" w:eastAsia="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41D4CD8C-B1A3-42EC-974E-0F9E6680DE37}">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19</Pages>
  <Words>80</Words>
  <Characters>90</Characters>
  <Lines>55</Lines>
  <Paragraphs>15</Paragraphs>
  <TotalTime>1</TotalTime>
  <ScaleCrop>false</ScaleCrop>
  <LinksUpToDate>false</LinksUpToDate>
  <CharactersWithSpaces>111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2026-09-21T11:33:00Z</dcterms:created>
  <dc:creator>xb21cn</dc:creator>
  <cp:lastModifiedBy>19131441276</cp:lastModifiedBy>
  <cp:lastPrinted>2023-01-16T16:04:00Z</cp:lastPrinted>
  <dcterms:modified xsi:type="dcterms:W3CDTF">2026-09-22T09:35:01Z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E0CDDA3BA7154E3D9F7A95342F384D05_13</vt:lpwstr>
  </property>
  <property fmtid="{D5CDD505-2E9C-101B-9397-08002B2CF9AE}" pid="4" name="KSOTemplateDocerSaveRecord">
    <vt:lpwstr>eyJoZGlkIjoiMWZlMzE4MjY3YmNlMjU0NTIyZDZmODdmMTBmODY0YTEiLCJ1c2VySWQiOiIyNDYwODE5MjMifQ==</vt:lpwstr>
  </property>
  <property fmtid="{D5CDD505-2E9C-101B-9397-08002B2CF9AE}" pid="5" name="AIGC">
    <vt:lpwstr>{"Label":"1","ContentProducer":"001191440300708461136T1WFUO","ProduceID":"356b0ddbcd1636855f10e2cd44288e28-26ih","ReservedCode1":"{\"Type\":\" TC260PG\",\"Version\":1,\"Bindings\":[{\"Type\":\"soft\",\"AlgID\":\"sm3\",\"Value\":\"95613cc398890f8a05eeb7d71c86bbc01208cb55d4b25822407fd72a0881c443\"},{\"Type\":\"hash\",\"AlgID\":\"sm3\",\"Value\":\"b26cc031ad2e430309651b90947676bcbdb4c7d970f3be96060b315b3215bf01\"}],\"PubSD\":[{\"Type\":\"DS\",\"AlgID\":\"sm2\",\"TBSData\":{\"Type\":\"Binding\",\"BType\":\"hash\"},\"Signature\":\"304402203b54d0134a5d733ebdd97c957b853534223dadc789052eab07497b631696111f0220258e29ef6162de88b0f05294369dc1fa3b863dc3ce3bd53c954bf8de858d4c2b\"},{\"Type\":\"PubKey\",\"AlgID\":\"sm2\",\"KeyValue\":\"0407f79b28a17a752b3aae4305c98b48978213832729a2571850b1310b2bc9fe8fee039ccf25ebfeac27502414d9fcef792d777183c98893d226171c2f7a3289a2\"}],\"Extension\":{\"Timestamp\":1789974281,\"KeyVersion\":\"v1-TxLeOmf7bqU223\"}}","ContentPropagator":"001191440300708461136T1WFUO","PropagateID":"356b0ddbcd1636855f10e2cd44288e28-26ih","ReservedCode2":"{\"Type\":\" TC260PG\",\"Version\":1,\"Bindings\":[{\"Type\":\"soft\",\"AlgID\":\"sm3\",\"Value\":\"95613cc398890f8a05eeb7d71c86bbc01208cb55d4b25822407fd72a0881c443\"},{\"Type\":\"hash\",\"AlgID\":\"sm3\",\"Value\":\"b26cc031ad2e430309651b90947676bcbdb4c7d970f3be96060b315b3215bf01\"}],\"PubSD\":[{\"Type\":\"DS\",\"AlgID\":\"sm2\",\"TBSData\":{\"Type\":\"Binding\",\"BType\":\"hash\"},\"Signature\":\"3045022100e98e44d0c929fa6d60c4f47f2f7e049ec7deb4678bf311fc9f4b9d501b0d83c60220530069f04b4fff940d335514f4491c14e061170cbee940db2f639102d35792a5\"},{\"Type\":\"PubKey\",\"AlgID\":\"sm2\",\"KeyValue\":\"0407f79b28a17a752b3aae4305c98b48978213832729a2571850b1310b2bc9fe8fee039ccf25ebfeac27502414d9fcef792d777183c98893d226171c2f7a3289a2\"}],\"Extension\":{\"Timestamp\":1789974281,\"KeyVersion\":\"v1-TxLeOmf7bqU223\"}}"}</vt:lpwstr>
  </property>
</Properties>
</file>