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45DC3E">
      <w:pPr>
        <w:spacing w:line="360" w:lineRule="auto"/>
        <w:jc w:val="center"/>
        <w:rPr>
          <w:rFonts w:ascii="宋体" w:hAnsi="宋体"/>
          <w:sz w:val="24"/>
          <w:u w:val="none" w:color="auto"/>
        </w:rPr>
      </w:pPr>
    </w:p>
    <w:p w14:paraId="781F0199">
      <w:pPr>
        <w:spacing w:line="360" w:lineRule="auto"/>
        <w:jc w:val="center"/>
        <w:rPr>
          <w:rFonts w:ascii="宋体" w:hAnsi="宋体"/>
          <w:sz w:val="24"/>
          <w:u w:val="none" w:color="auto"/>
        </w:rPr>
      </w:pPr>
    </w:p>
    <w:p w14:paraId="588D4AEF">
      <w:pPr>
        <w:spacing w:line="360" w:lineRule="auto"/>
        <w:jc w:val="center"/>
        <w:rPr>
          <w:rFonts w:ascii="宋体" w:hAnsi="宋体"/>
          <w:sz w:val="24"/>
          <w:u w:val="none" w:color="auto"/>
        </w:rPr>
      </w:pPr>
    </w:p>
    <w:p w14:paraId="3F809282">
      <w:pPr>
        <w:spacing w:line="360" w:lineRule="auto"/>
        <w:jc w:val="center"/>
        <w:rPr>
          <w:rFonts w:ascii="宋体" w:hAnsi="宋体"/>
          <w:sz w:val="24"/>
          <w:u w:val="none" w:color="auto"/>
        </w:rPr>
      </w:pPr>
    </w:p>
    <w:p w14:paraId="1B02263B">
      <w:pPr>
        <w:spacing w:line="360" w:lineRule="auto"/>
        <w:jc w:val="center"/>
        <w:rPr>
          <w:rFonts w:ascii="宋体" w:hAnsi="宋体"/>
          <w:sz w:val="24"/>
          <w:u w:val="none" w:color="auto"/>
        </w:rPr>
      </w:pPr>
    </w:p>
    <w:p w14:paraId="2345BA69">
      <w:pPr>
        <w:spacing w:line="360" w:lineRule="auto"/>
        <w:jc w:val="center"/>
        <w:rPr>
          <w:rFonts w:ascii="宋体" w:hAnsi="宋体"/>
          <w:sz w:val="24"/>
          <w:u w:val="none" w:color="auto"/>
        </w:rPr>
      </w:pPr>
    </w:p>
    <w:p w14:paraId="409B8784">
      <w:pPr>
        <w:keepNext/>
        <w:keepLines/>
        <w:pageBreakBefore w:val="0"/>
        <w:widowControl w:val="0"/>
        <w:tabs>
          <w:tab w:val="left" w:pos="6669"/>
        </w:tabs>
        <w:kinsoku/>
        <w:wordWrap/>
        <w:overflowPunct/>
        <w:topLinePunct w:val="0"/>
        <w:autoSpaceDE w:val="0"/>
        <w:autoSpaceDN w:val="0"/>
        <w:bidi w:val="0"/>
        <w:adjustRightInd w:val="0"/>
        <w:snapToGrid/>
        <w:ind w:left="198"/>
        <w:jc w:val="center"/>
        <w:textAlignment w:val="auto"/>
        <w:rPr>
          <w:rFonts w:hint="eastAsia" w:ascii="Times New Roman" w:hAnsi="Times New Roman" w:eastAsia="方正小标宋简体"/>
          <w:kern w:val="2"/>
          <w:sz w:val="44"/>
          <w:u w:val="none" w:color="auto"/>
        </w:rPr>
      </w:pPr>
      <w:r>
        <w:rPr>
          <w:rFonts w:hint="eastAsia" w:ascii="Times New Roman" w:hAnsi="Times New Roman" w:eastAsia="方正小标宋简体"/>
          <w:kern w:val="2"/>
          <w:sz w:val="44"/>
          <w:u w:val="none" w:color="auto"/>
        </w:rPr>
        <w:t>2025年度巴彦淖尔市卫生健康委员会</w:t>
      </w:r>
    </w:p>
    <w:p w14:paraId="77E6C3D2">
      <w:pPr>
        <w:keepNext/>
        <w:keepLines/>
        <w:pageBreakBefore w:val="0"/>
        <w:widowControl w:val="0"/>
        <w:tabs>
          <w:tab w:val="left" w:pos="6669"/>
        </w:tabs>
        <w:kinsoku/>
        <w:wordWrap/>
        <w:overflowPunct/>
        <w:topLinePunct w:val="0"/>
        <w:autoSpaceDE w:val="0"/>
        <w:autoSpaceDN w:val="0"/>
        <w:bidi w:val="0"/>
        <w:adjustRightInd w:val="0"/>
        <w:snapToGrid/>
        <w:ind w:left="198"/>
        <w:jc w:val="center"/>
        <w:textAlignment w:val="auto"/>
        <w:rPr>
          <w:rFonts w:hint="eastAsia" w:ascii="Times New Roman" w:hAnsi="Times New Roman" w:eastAsia="方正小标宋简体"/>
          <w:kern w:val="2"/>
          <w:sz w:val="44"/>
          <w:u w:val="none" w:color="auto"/>
        </w:rPr>
      </w:pPr>
      <w:r>
        <w:rPr>
          <w:rFonts w:hint="eastAsia" w:ascii="Times New Roman" w:hAnsi="Times New Roman" w:eastAsia="方正小标宋简体"/>
          <w:kern w:val="2"/>
          <w:sz w:val="44"/>
          <w:u w:val="none" w:color="auto"/>
        </w:rPr>
        <w:t>本级</w:t>
      </w:r>
      <w:r>
        <w:rPr>
          <w:rFonts w:hint="eastAsia" w:eastAsia="方正小标宋简体"/>
          <w:kern w:val="2"/>
          <w:sz w:val="44"/>
          <w:u w:val="none" w:color="auto"/>
          <w:lang w:eastAsia="zh-CN"/>
        </w:rPr>
        <w:t>单位决算</w:t>
      </w:r>
      <w:r>
        <w:rPr>
          <w:rFonts w:hint="eastAsia" w:ascii="Times New Roman" w:hAnsi="Times New Roman" w:eastAsia="方正小标宋简体"/>
          <w:kern w:val="2"/>
          <w:sz w:val="44"/>
          <w:u w:val="none" w:color="auto"/>
        </w:rPr>
        <w:t>公开</w:t>
      </w:r>
    </w:p>
    <w:p w14:paraId="6AF33ABC">
      <w:pPr>
        <w:spacing w:line="360" w:lineRule="auto"/>
        <w:jc w:val="center"/>
        <w:rPr>
          <w:rFonts w:ascii="宋体" w:hAnsi="宋体"/>
          <w:b/>
          <w:bCs/>
          <w:sz w:val="52"/>
          <w:szCs w:val="52"/>
          <w:u w:val="none" w:color="auto"/>
        </w:rPr>
      </w:pPr>
    </w:p>
    <w:p w14:paraId="10212A6C">
      <w:pPr>
        <w:spacing w:line="360" w:lineRule="auto"/>
        <w:jc w:val="center"/>
        <w:rPr>
          <w:rFonts w:ascii="宋体" w:hAnsi="宋体"/>
          <w:b/>
          <w:bCs/>
          <w:sz w:val="52"/>
          <w:szCs w:val="52"/>
          <w:u w:val="none" w:color="auto"/>
        </w:rPr>
      </w:pPr>
    </w:p>
    <w:p w14:paraId="636528E7">
      <w:pPr>
        <w:spacing w:line="360" w:lineRule="auto"/>
        <w:jc w:val="center"/>
        <w:rPr>
          <w:rFonts w:ascii="宋体" w:hAnsi="宋体"/>
          <w:b/>
          <w:bCs/>
          <w:sz w:val="52"/>
          <w:szCs w:val="52"/>
          <w:u w:val="none" w:color="auto"/>
        </w:rPr>
      </w:pPr>
    </w:p>
    <w:p w14:paraId="3ADF248C">
      <w:pPr>
        <w:spacing w:line="360" w:lineRule="auto"/>
        <w:jc w:val="center"/>
        <w:rPr>
          <w:rFonts w:ascii="宋体" w:hAnsi="宋体"/>
          <w:b/>
          <w:bCs/>
          <w:sz w:val="52"/>
          <w:szCs w:val="52"/>
          <w:u w:val="none" w:color="auto"/>
        </w:rPr>
      </w:pPr>
    </w:p>
    <w:p w14:paraId="1D89E7A7">
      <w:pPr>
        <w:spacing w:line="360" w:lineRule="auto"/>
        <w:jc w:val="center"/>
        <w:rPr>
          <w:rFonts w:ascii="宋体" w:hAnsi="宋体"/>
          <w:b/>
          <w:bCs/>
          <w:sz w:val="52"/>
          <w:szCs w:val="52"/>
          <w:u w:val="none" w:color="auto"/>
        </w:rPr>
      </w:pPr>
    </w:p>
    <w:p w14:paraId="454CAC92">
      <w:pPr>
        <w:ind w:firstLine="2249" w:firstLineChars="700"/>
        <w:rPr>
          <w:rFonts w:ascii="仿宋" w:hAnsi="仿宋" w:eastAsia="仿宋"/>
          <w:b/>
          <w:sz w:val="32"/>
          <w:szCs w:val="32"/>
          <w:u w:val="none" w:color="auto"/>
        </w:rPr>
        <w:sectPr>
          <w:footerReference r:id="rId3" w:type="default"/>
          <w:pgSz w:w="11906" w:h="16838"/>
          <w:pgMar w:top="1440" w:right="1800" w:bottom="1440" w:left="1800" w:header="0" w:footer="720" w:gutter="0"/>
          <w:cols w:space="425" w:num="1"/>
          <w:docGrid w:type="lines" w:linePitch="312" w:charSpace="0"/>
        </w:sectPr>
      </w:pPr>
    </w:p>
    <w:p w14:paraId="1C9A9517">
      <w:pPr>
        <w:pStyle w:val="29"/>
        <w:keepNext w:val="0"/>
        <w:keepLines w:val="0"/>
        <w:pageBreakBefore w:val="0"/>
        <w:widowControl/>
        <w:kinsoku/>
        <w:wordWrap/>
        <w:overflowPunct/>
        <w:topLinePunct w:val="0"/>
        <w:autoSpaceDE/>
        <w:autoSpaceDN/>
        <w:bidi w:val="0"/>
        <w:adjustRightInd/>
        <w:snapToGrid/>
        <w:spacing w:after="240" w:line="360" w:lineRule="auto"/>
        <w:jc w:val="center"/>
        <w:textAlignment w:val="auto"/>
        <w:rPr>
          <w:rFonts w:ascii="Times New Roman" w:hAnsi="Times New Roman" w:eastAsia="Times New Roman" w:cs="Times New Roman"/>
          <w:kern w:val="0"/>
          <w:sz w:val="24"/>
          <w:u w:val="none" w:color="auto"/>
        </w:rPr>
      </w:pPr>
      <w:bookmarkStart w:id="0" w:name="a000"/>
      <w:r>
        <w:rPr>
          <w:rFonts w:ascii="FangSong_GB2312" w:hAnsi="FangSong_GB2312" w:eastAsia="FangSong_GB2312" w:cs="FangSong_GB2312"/>
          <w:b/>
          <w:bCs/>
          <w:kern w:val="0"/>
          <w:sz w:val="48"/>
          <w:szCs w:val="48"/>
          <w:u w:val="none" w:color="auto"/>
        </w:rPr>
        <w:t>目录</w:t>
      </w:r>
    </w:p>
    <w:p w14:paraId="310659F2">
      <w:pPr>
        <w:keepNext w:val="0"/>
        <w:keepLines w:val="0"/>
        <w:pageBreakBefore w:val="0"/>
        <w:widowControl/>
        <w:kinsoku/>
        <w:wordWrap/>
        <w:overflowPunct/>
        <w:topLinePunct w:val="0"/>
        <w:autoSpaceDE/>
        <w:autoSpaceDN/>
        <w:bidi w:val="0"/>
        <w:adjustRightInd/>
        <w:snapToGrid/>
        <w:spacing w:before="240" w:after="240" w:line="360" w:lineRule="auto"/>
        <w:jc w:val="left"/>
        <w:textAlignment w:val="auto"/>
        <w:rPr>
          <w:rFonts w:ascii="Times New Roman" w:hAnsi="Times New Roman" w:eastAsia="Times New Roman" w:cs="Times New Roman"/>
          <w:kern w:val="0"/>
          <w:sz w:val="24"/>
          <w:u w:val="none" w:color="auto"/>
        </w:rPr>
      </w:pPr>
      <w:r>
        <w:rPr>
          <w:rFonts w:ascii="Times New Roman" w:hAnsi="Times New Roman" w:eastAsia="Times New Roman" w:cs="Times New Roman"/>
          <w:b/>
          <w:bCs/>
          <w:kern w:val="0"/>
          <w:sz w:val="24"/>
          <w:u w:val="none" w:color="auto"/>
        </w:rPr>
        <w:t> </w:t>
      </w:r>
    </w:p>
    <w:p w14:paraId="20858612">
      <w:pPr>
        <w:pStyle w:val="29"/>
        <w:keepNext w:val="0"/>
        <w:keepLines w:val="0"/>
        <w:pageBreakBefore w:val="0"/>
        <w:widowControl/>
        <w:kinsoku/>
        <w:wordWrap/>
        <w:overflowPunct/>
        <w:topLinePunct w:val="0"/>
        <w:autoSpaceDE/>
        <w:autoSpaceDN/>
        <w:bidi w:val="0"/>
        <w:adjustRightInd/>
        <w:snapToGrid/>
        <w:spacing w:before="240" w:after="240" w:line="520" w:lineRule="exact"/>
        <w:jc w:val="left"/>
        <w:textAlignment w:val="auto"/>
        <w:rPr>
          <w:rFonts w:ascii="Times New Roman" w:hAnsi="Times New Roman" w:eastAsia="Times New Roman" w:cs="Times New Roman"/>
          <w:kern w:val="0"/>
          <w:sz w:val="24"/>
          <w:u w:val="none" w:color="auto"/>
        </w:rPr>
      </w:pPr>
      <w:r>
        <w:rPr>
          <w:rFonts w:ascii="黑体" w:hAnsi="黑体" w:eastAsia="黑体" w:cs="黑体"/>
          <w:kern w:val="0"/>
          <w:sz w:val="32"/>
          <w:szCs w:val="32"/>
          <w:u w:val="none" w:color="auto"/>
        </w:rPr>
        <w:t>第一部分</w:t>
      </w:r>
      <w:r>
        <w:rPr>
          <w:rFonts w:ascii="Calibri" w:hAnsi="Calibri" w:eastAsia="Calibri" w:cs="Calibri"/>
          <w:kern w:val="0"/>
          <w:sz w:val="32"/>
          <w:szCs w:val="32"/>
          <w:u w:val="none" w:color="auto"/>
          <w:lang w:eastAsia="en-US"/>
        </w:rPr>
        <w:t> </w:t>
      </w:r>
      <w:r>
        <w:rPr>
          <w:rFonts w:ascii="黑体" w:hAnsi="黑体" w:eastAsia="黑体" w:cs="黑体"/>
          <w:kern w:val="0"/>
          <w:sz w:val="32"/>
          <w:szCs w:val="32"/>
          <w:u w:val="none" w:color="auto"/>
          <w:lang w:eastAsia="en-US"/>
        </w:rPr>
        <w:t xml:space="preserve"> </w:t>
      </w:r>
      <w:r>
        <w:rPr>
          <w:rFonts w:ascii="黑体" w:hAnsi="黑体" w:eastAsia="黑体" w:cs="黑体"/>
          <w:kern w:val="0"/>
          <w:sz w:val="32"/>
          <w:szCs w:val="32"/>
          <w:u w:val="none" w:color="auto"/>
        </w:rPr>
        <w:t>单位概况</w:t>
      </w:r>
    </w:p>
    <w:p w14:paraId="017E2ABC">
      <w:pPr>
        <w:pStyle w:val="29"/>
        <w:keepNext w:val="0"/>
        <w:keepLines w:val="0"/>
        <w:pageBreakBefore w:val="0"/>
        <w:widowControl/>
        <w:kinsoku/>
        <w:wordWrap/>
        <w:overflowPunct/>
        <w:topLinePunct w:val="0"/>
        <w:autoSpaceDE/>
        <w:autoSpaceDN/>
        <w:bidi w:val="0"/>
        <w:adjustRightInd/>
        <w:snapToGrid/>
        <w:spacing w:before="240" w:after="240" w:line="520" w:lineRule="exact"/>
        <w:jc w:val="left"/>
        <w:textAlignment w:val="auto"/>
        <w:rPr>
          <w:rFonts w:ascii="Times New Roman" w:hAnsi="Times New Roman" w:eastAsia="Times New Roman" w:cs="Times New Roman"/>
          <w:kern w:val="0"/>
          <w:sz w:val="24"/>
          <w:u w:val="none" w:color="auto"/>
        </w:rPr>
      </w:pPr>
      <w:r>
        <w:rPr>
          <w:rFonts w:ascii="FangSong_GB2312" w:hAnsi="FangSong_GB2312" w:eastAsia="FangSong_GB2312" w:cs="FangSong_GB2312"/>
          <w:kern w:val="0"/>
          <w:sz w:val="32"/>
          <w:szCs w:val="32"/>
          <w:u w:val="none" w:color="auto"/>
        </w:rPr>
        <w:t>一、主要职能、职责</w:t>
      </w:r>
    </w:p>
    <w:p w14:paraId="4CE411F3">
      <w:pPr>
        <w:pStyle w:val="29"/>
        <w:keepNext w:val="0"/>
        <w:keepLines w:val="0"/>
        <w:pageBreakBefore w:val="0"/>
        <w:widowControl/>
        <w:kinsoku/>
        <w:wordWrap/>
        <w:overflowPunct/>
        <w:topLinePunct w:val="0"/>
        <w:autoSpaceDE/>
        <w:autoSpaceDN/>
        <w:bidi w:val="0"/>
        <w:adjustRightInd/>
        <w:snapToGrid/>
        <w:spacing w:before="240" w:after="240" w:line="520" w:lineRule="exact"/>
        <w:jc w:val="left"/>
        <w:textAlignment w:val="auto"/>
        <w:rPr>
          <w:rFonts w:ascii="Times New Roman" w:hAnsi="Times New Roman" w:eastAsia="Times New Roman" w:cs="Times New Roman"/>
          <w:kern w:val="0"/>
          <w:sz w:val="24"/>
          <w:u w:val="none" w:color="auto"/>
        </w:rPr>
      </w:pPr>
      <w:r>
        <w:rPr>
          <w:rFonts w:ascii="FangSong_GB2312" w:hAnsi="FangSong_GB2312" w:eastAsia="FangSong_GB2312" w:cs="FangSong_GB2312"/>
          <w:kern w:val="0"/>
          <w:sz w:val="32"/>
          <w:szCs w:val="32"/>
          <w:u w:val="none" w:color="auto"/>
        </w:rPr>
        <w:t>二、单位机构设置及决算单位构成情况</w:t>
      </w:r>
    </w:p>
    <w:p w14:paraId="66DF6FCD">
      <w:pPr>
        <w:pStyle w:val="29"/>
        <w:keepNext w:val="0"/>
        <w:keepLines w:val="0"/>
        <w:pageBreakBefore w:val="0"/>
        <w:widowControl/>
        <w:kinsoku/>
        <w:wordWrap/>
        <w:overflowPunct/>
        <w:topLinePunct w:val="0"/>
        <w:autoSpaceDE/>
        <w:autoSpaceDN/>
        <w:bidi w:val="0"/>
        <w:adjustRightInd/>
        <w:snapToGrid/>
        <w:spacing w:before="240" w:after="240" w:line="520" w:lineRule="exact"/>
        <w:jc w:val="left"/>
        <w:textAlignment w:val="auto"/>
        <w:rPr>
          <w:rFonts w:ascii="Times New Roman" w:hAnsi="Times New Roman" w:eastAsia="Times New Roman" w:cs="Times New Roman"/>
          <w:kern w:val="0"/>
          <w:sz w:val="24"/>
          <w:u w:val="none" w:color="auto"/>
        </w:rPr>
      </w:pPr>
      <w:r>
        <w:rPr>
          <w:rFonts w:ascii="FangSong_GB2312" w:hAnsi="FangSong_GB2312" w:eastAsia="FangSong_GB2312" w:cs="FangSong_GB2312"/>
          <w:kern w:val="0"/>
          <w:sz w:val="32"/>
          <w:szCs w:val="32"/>
          <w:u w:val="none" w:color="auto"/>
        </w:rPr>
        <w:t>三、</w:t>
      </w:r>
      <w:r>
        <w:rPr>
          <w:rFonts w:eastAsia="Times New Roman"/>
          <w:kern w:val="0"/>
          <w:sz w:val="32"/>
          <w:szCs w:val="32"/>
          <w:u w:val="none" w:color="auto"/>
          <w:lang w:eastAsia="en-US"/>
        </w:rPr>
        <w:t>2025</w:t>
      </w:r>
      <w:r>
        <w:rPr>
          <w:rFonts w:ascii="FangSong_GB2312" w:hAnsi="FangSong_GB2312" w:eastAsia="FangSong_GB2312" w:cs="FangSong_GB2312"/>
          <w:kern w:val="0"/>
          <w:sz w:val="32"/>
          <w:szCs w:val="32"/>
          <w:u w:val="none" w:color="auto"/>
        </w:rPr>
        <w:t>年度单位主要工作完成情况</w:t>
      </w:r>
    </w:p>
    <w:p w14:paraId="0CD26D06">
      <w:pPr>
        <w:pStyle w:val="29"/>
        <w:keepNext w:val="0"/>
        <w:keepLines w:val="0"/>
        <w:pageBreakBefore w:val="0"/>
        <w:widowControl/>
        <w:kinsoku/>
        <w:wordWrap/>
        <w:overflowPunct/>
        <w:topLinePunct w:val="0"/>
        <w:autoSpaceDE/>
        <w:autoSpaceDN/>
        <w:bidi w:val="0"/>
        <w:adjustRightInd/>
        <w:snapToGrid/>
        <w:spacing w:before="240" w:after="240" w:line="520" w:lineRule="exact"/>
        <w:jc w:val="left"/>
        <w:textAlignment w:val="auto"/>
        <w:rPr>
          <w:rFonts w:ascii="Times New Roman" w:hAnsi="Times New Roman" w:eastAsia="Times New Roman" w:cs="Times New Roman"/>
          <w:kern w:val="0"/>
          <w:sz w:val="24"/>
          <w:u w:val="none" w:color="auto"/>
        </w:rPr>
      </w:pPr>
      <w:r>
        <w:rPr>
          <w:rFonts w:ascii="黑体" w:hAnsi="黑体" w:eastAsia="黑体" w:cs="黑体"/>
          <w:kern w:val="0"/>
          <w:sz w:val="32"/>
          <w:szCs w:val="32"/>
          <w:u w:val="none" w:color="auto"/>
        </w:rPr>
        <w:t>第二部分</w:t>
      </w:r>
      <w:r>
        <w:rPr>
          <w:rFonts w:ascii="Calibri" w:hAnsi="Calibri" w:eastAsia="Calibri" w:cs="Calibri"/>
          <w:kern w:val="0"/>
          <w:sz w:val="32"/>
          <w:szCs w:val="32"/>
          <w:u w:val="none" w:color="auto"/>
          <w:lang w:eastAsia="en-US"/>
        </w:rPr>
        <w:t> </w:t>
      </w:r>
      <w:r>
        <w:rPr>
          <w:rFonts w:ascii="黑体" w:hAnsi="黑体" w:eastAsia="黑体" w:cs="黑体"/>
          <w:kern w:val="0"/>
          <w:sz w:val="32"/>
          <w:szCs w:val="32"/>
          <w:u w:val="none" w:color="auto"/>
          <w:lang w:eastAsia="en-US"/>
        </w:rPr>
        <w:t xml:space="preserve"> </w:t>
      </w:r>
      <w:r>
        <w:rPr>
          <w:rFonts w:ascii="黑体" w:hAnsi="黑体" w:eastAsia="黑体" w:cs="黑体"/>
          <w:kern w:val="0"/>
          <w:sz w:val="32"/>
          <w:szCs w:val="32"/>
          <w:u w:val="none" w:color="auto"/>
        </w:rPr>
        <w:t>单位决算情况说明</w:t>
      </w:r>
    </w:p>
    <w:p w14:paraId="0F1DF5F1">
      <w:pPr>
        <w:pStyle w:val="29"/>
        <w:keepNext w:val="0"/>
        <w:keepLines w:val="0"/>
        <w:pageBreakBefore w:val="0"/>
        <w:widowControl/>
        <w:kinsoku/>
        <w:wordWrap/>
        <w:overflowPunct/>
        <w:topLinePunct w:val="0"/>
        <w:autoSpaceDE/>
        <w:autoSpaceDN/>
        <w:bidi w:val="0"/>
        <w:adjustRightInd/>
        <w:snapToGrid/>
        <w:spacing w:before="240" w:after="240" w:line="520" w:lineRule="exact"/>
        <w:jc w:val="left"/>
        <w:textAlignment w:val="auto"/>
        <w:rPr>
          <w:rFonts w:ascii="Times New Roman" w:hAnsi="Times New Roman" w:eastAsia="Times New Roman" w:cs="Times New Roman"/>
          <w:kern w:val="0"/>
          <w:sz w:val="24"/>
          <w:u w:val="none" w:color="auto"/>
        </w:rPr>
      </w:pPr>
      <w:r>
        <w:rPr>
          <w:rFonts w:ascii="FangSong_GB2312" w:hAnsi="FangSong_GB2312" w:eastAsia="FangSong_GB2312" w:cs="FangSong_GB2312"/>
          <w:kern w:val="0"/>
          <w:sz w:val="32"/>
          <w:szCs w:val="32"/>
          <w:u w:val="none" w:color="auto"/>
        </w:rPr>
        <w:t>一、收入支出决算总体情况说明</w:t>
      </w:r>
    </w:p>
    <w:p w14:paraId="7838687D">
      <w:pPr>
        <w:pStyle w:val="29"/>
        <w:keepNext w:val="0"/>
        <w:keepLines w:val="0"/>
        <w:pageBreakBefore w:val="0"/>
        <w:widowControl/>
        <w:kinsoku/>
        <w:wordWrap/>
        <w:overflowPunct/>
        <w:topLinePunct w:val="0"/>
        <w:autoSpaceDE/>
        <w:autoSpaceDN/>
        <w:bidi w:val="0"/>
        <w:adjustRightInd/>
        <w:snapToGrid/>
        <w:spacing w:before="240" w:after="240" w:line="520" w:lineRule="exact"/>
        <w:jc w:val="left"/>
        <w:textAlignment w:val="auto"/>
        <w:rPr>
          <w:rFonts w:ascii="Times New Roman" w:hAnsi="Times New Roman" w:eastAsia="Times New Roman" w:cs="Times New Roman"/>
          <w:kern w:val="0"/>
          <w:sz w:val="24"/>
          <w:u w:val="none" w:color="auto"/>
        </w:rPr>
      </w:pPr>
      <w:r>
        <w:rPr>
          <w:rFonts w:ascii="FangSong_GB2312" w:hAnsi="FangSong_GB2312" w:eastAsia="FangSong_GB2312" w:cs="FangSong_GB2312"/>
          <w:kern w:val="0"/>
          <w:sz w:val="32"/>
          <w:szCs w:val="32"/>
          <w:u w:val="none" w:color="auto"/>
        </w:rPr>
        <w:t>二、收入决算情况说明</w:t>
      </w:r>
    </w:p>
    <w:p w14:paraId="316B29BC">
      <w:pPr>
        <w:pStyle w:val="29"/>
        <w:keepNext w:val="0"/>
        <w:keepLines w:val="0"/>
        <w:pageBreakBefore w:val="0"/>
        <w:widowControl/>
        <w:kinsoku/>
        <w:wordWrap/>
        <w:overflowPunct/>
        <w:topLinePunct w:val="0"/>
        <w:autoSpaceDE/>
        <w:autoSpaceDN/>
        <w:bidi w:val="0"/>
        <w:adjustRightInd/>
        <w:snapToGrid/>
        <w:spacing w:before="240" w:after="240" w:line="520" w:lineRule="exact"/>
        <w:jc w:val="left"/>
        <w:textAlignment w:val="auto"/>
        <w:rPr>
          <w:rFonts w:ascii="Times New Roman" w:hAnsi="Times New Roman" w:eastAsia="Times New Roman" w:cs="Times New Roman"/>
          <w:kern w:val="0"/>
          <w:sz w:val="24"/>
          <w:u w:val="none" w:color="auto"/>
        </w:rPr>
      </w:pPr>
      <w:r>
        <w:rPr>
          <w:rFonts w:ascii="FangSong_GB2312" w:hAnsi="FangSong_GB2312" w:eastAsia="FangSong_GB2312" w:cs="FangSong_GB2312"/>
          <w:kern w:val="0"/>
          <w:sz w:val="32"/>
          <w:szCs w:val="32"/>
          <w:u w:val="none" w:color="auto"/>
        </w:rPr>
        <w:t>三、支出决算情况说明</w:t>
      </w:r>
    </w:p>
    <w:p w14:paraId="48A13C89">
      <w:pPr>
        <w:pStyle w:val="29"/>
        <w:keepNext w:val="0"/>
        <w:keepLines w:val="0"/>
        <w:pageBreakBefore w:val="0"/>
        <w:widowControl/>
        <w:kinsoku/>
        <w:wordWrap/>
        <w:overflowPunct/>
        <w:topLinePunct w:val="0"/>
        <w:autoSpaceDE/>
        <w:autoSpaceDN/>
        <w:bidi w:val="0"/>
        <w:adjustRightInd/>
        <w:snapToGrid/>
        <w:spacing w:before="240" w:after="240" w:line="520" w:lineRule="exact"/>
        <w:jc w:val="left"/>
        <w:textAlignment w:val="auto"/>
        <w:rPr>
          <w:rFonts w:ascii="Times New Roman" w:hAnsi="Times New Roman" w:eastAsia="Times New Roman" w:cs="Times New Roman"/>
          <w:kern w:val="0"/>
          <w:sz w:val="24"/>
          <w:u w:val="none" w:color="auto"/>
        </w:rPr>
      </w:pPr>
      <w:r>
        <w:rPr>
          <w:rFonts w:ascii="FangSong_GB2312" w:hAnsi="FangSong_GB2312" w:eastAsia="FangSong_GB2312" w:cs="FangSong_GB2312"/>
          <w:kern w:val="0"/>
          <w:sz w:val="32"/>
          <w:szCs w:val="32"/>
          <w:u w:val="none" w:color="auto"/>
        </w:rPr>
        <w:t>四、财政拨款收入支出决算总体情况说明</w:t>
      </w:r>
    </w:p>
    <w:p w14:paraId="0FEFE8CA">
      <w:pPr>
        <w:pStyle w:val="29"/>
        <w:keepNext w:val="0"/>
        <w:keepLines w:val="0"/>
        <w:pageBreakBefore w:val="0"/>
        <w:widowControl/>
        <w:kinsoku/>
        <w:wordWrap/>
        <w:overflowPunct/>
        <w:topLinePunct w:val="0"/>
        <w:autoSpaceDE/>
        <w:autoSpaceDN/>
        <w:bidi w:val="0"/>
        <w:adjustRightInd/>
        <w:snapToGrid/>
        <w:spacing w:before="240" w:after="240" w:line="520" w:lineRule="exact"/>
        <w:jc w:val="left"/>
        <w:textAlignment w:val="auto"/>
        <w:rPr>
          <w:rFonts w:ascii="Times New Roman" w:hAnsi="Times New Roman" w:eastAsia="Times New Roman" w:cs="Times New Roman"/>
          <w:kern w:val="0"/>
          <w:sz w:val="24"/>
          <w:u w:val="none" w:color="auto"/>
        </w:rPr>
      </w:pPr>
      <w:r>
        <w:rPr>
          <w:rFonts w:ascii="FangSong_GB2312" w:hAnsi="FangSong_GB2312" w:eastAsia="FangSong_GB2312" w:cs="FangSong_GB2312"/>
          <w:kern w:val="0"/>
          <w:sz w:val="32"/>
          <w:szCs w:val="32"/>
          <w:u w:val="none" w:color="auto"/>
        </w:rPr>
        <w:t>五、一般公共预算财政拨款支出决算情况说明</w:t>
      </w:r>
    </w:p>
    <w:p w14:paraId="5A2F96D6">
      <w:pPr>
        <w:pStyle w:val="29"/>
        <w:keepNext w:val="0"/>
        <w:keepLines w:val="0"/>
        <w:pageBreakBefore w:val="0"/>
        <w:widowControl/>
        <w:kinsoku/>
        <w:wordWrap/>
        <w:overflowPunct/>
        <w:topLinePunct w:val="0"/>
        <w:autoSpaceDE/>
        <w:autoSpaceDN/>
        <w:bidi w:val="0"/>
        <w:adjustRightInd/>
        <w:snapToGrid/>
        <w:spacing w:before="240" w:after="240" w:line="520" w:lineRule="exact"/>
        <w:jc w:val="left"/>
        <w:textAlignment w:val="auto"/>
        <w:rPr>
          <w:rFonts w:ascii="Times New Roman" w:hAnsi="Times New Roman" w:eastAsia="Times New Roman" w:cs="Times New Roman"/>
          <w:kern w:val="0"/>
          <w:sz w:val="24"/>
          <w:u w:val="none" w:color="auto"/>
        </w:rPr>
      </w:pPr>
      <w:r>
        <w:rPr>
          <w:rFonts w:ascii="FangSong_GB2312" w:hAnsi="FangSong_GB2312" w:eastAsia="FangSong_GB2312" w:cs="FangSong_GB2312"/>
          <w:kern w:val="0"/>
          <w:sz w:val="32"/>
          <w:szCs w:val="32"/>
          <w:u w:val="none" w:color="auto"/>
        </w:rPr>
        <w:t>六、一般公共预算财政拨款基本支出决算情况说明</w:t>
      </w:r>
    </w:p>
    <w:p w14:paraId="674F1E43">
      <w:pPr>
        <w:pStyle w:val="29"/>
        <w:keepNext w:val="0"/>
        <w:keepLines w:val="0"/>
        <w:pageBreakBefore w:val="0"/>
        <w:widowControl/>
        <w:kinsoku/>
        <w:wordWrap/>
        <w:overflowPunct/>
        <w:topLinePunct w:val="0"/>
        <w:autoSpaceDE/>
        <w:autoSpaceDN/>
        <w:bidi w:val="0"/>
        <w:adjustRightInd/>
        <w:snapToGrid/>
        <w:spacing w:before="240" w:after="240" w:line="520" w:lineRule="exact"/>
        <w:jc w:val="left"/>
        <w:textAlignment w:val="auto"/>
        <w:rPr>
          <w:rFonts w:ascii="Times New Roman" w:hAnsi="Times New Roman" w:eastAsia="Times New Roman" w:cs="Times New Roman"/>
          <w:kern w:val="0"/>
          <w:sz w:val="24"/>
          <w:u w:val="none" w:color="auto"/>
        </w:rPr>
      </w:pPr>
      <w:r>
        <w:rPr>
          <w:rFonts w:ascii="FangSong_GB2312" w:hAnsi="FangSong_GB2312" w:eastAsia="FangSong_GB2312" w:cs="FangSong_GB2312"/>
          <w:kern w:val="0"/>
          <w:sz w:val="32"/>
          <w:szCs w:val="32"/>
          <w:u w:val="none" w:color="auto"/>
        </w:rPr>
        <w:t>七、一般公共预算财政拨款项目支出决算情况说明</w:t>
      </w:r>
    </w:p>
    <w:p w14:paraId="53118210">
      <w:pPr>
        <w:pStyle w:val="29"/>
        <w:keepNext w:val="0"/>
        <w:keepLines w:val="0"/>
        <w:pageBreakBefore w:val="0"/>
        <w:widowControl/>
        <w:kinsoku/>
        <w:wordWrap/>
        <w:overflowPunct/>
        <w:topLinePunct w:val="0"/>
        <w:autoSpaceDE/>
        <w:autoSpaceDN/>
        <w:bidi w:val="0"/>
        <w:adjustRightInd/>
        <w:snapToGrid/>
        <w:spacing w:before="240" w:after="240" w:line="520" w:lineRule="exact"/>
        <w:jc w:val="left"/>
        <w:textAlignment w:val="auto"/>
        <w:rPr>
          <w:rFonts w:ascii="Times New Roman" w:hAnsi="Times New Roman" w:eastAsia="Times New Roman" w:cs="Times New Roman"/>
          <w:kern w:val="0"/>
          <w:sz w:val="24"/>
          <w:u w:val="none" w:color="auto"/>
        </w:rPr>
      </w:pPr>
      <w:r>
        <w:rPr>
          <w:rFonts w:ascii="FangSong_GB2312" w:hAnsi="FangSong_GB2312" w:eastAsia="FangSong_GB2312" w:cs="FangSong_GB2312"/>
          <w:kern w:val="0"/>
          <w:sz w:val="32"/>
          <w:szCs w:val="32"/>
          <w:u w:val="none" w:color="auto"/>
        </w:rPr>
        <w:t>八、财政拨款“三公”经费支出决算情况说明</w:t>
      </w:r>
    </w:p>
    <w:p w14:paraId="7D25114F">
      <w:pPr>
        <w:pStyle w:val="29"/>
        <w:keepNext w:val="0"/>
        <w:keepLines w:val="0"/>
        <w:pageBreakBefore w:val="0"/>
        <w:widowControl/>
        <w:kinsoku/>
        <w:wordWrap/>
        <w:overflowPunct/>
        <w:topLinePunct w:val="0"/>
        <w:autoSpaceDE/>
        <w:autoSpaceDN/>
        <w:bidi w:val="0"/>
        <w:adjustRightInd/>
        <w:snapToGrid/>
        <w:spacing w:before="240" w:after="240" w:line="520" w:lineRule="exact"/>
        <w:jc w:val="left"/>
        <w:textAlignment w:val="auto"/>
        <w:rPr>
          <w:rFonts w:ascii="Times New Roman" w:hAnsi="Times New Roman" w:eastAsia="Times New Roman" w:cs="Times New Roman"/>
          <w:kern w:val="0"/>
          <w:sz w:val="24"/>
          <w:u w:val="none" w:color="auto"/>
        </w:rPr>
      </w:pPr>
      <w:r>
        <w:rPr>
          <w:rFonts w:ascii="FangSong_GB2312" w:hAnsi="FangSong_GB2312" w:eastAsia="FangSong_GB2312" w:cs="FangSong_GB2312"/>
          <w:kern w:val="0"/>
          <w:sz w:val="32"/>
          <w:szCs w:val="32"/>
          <w:u w:val="none" w:color="auto"/>
        </w:rPr>
        <w:t>九、政府性基金预算财政拨款支出决算情况说明</w:t>
      </w:r>
    </w:p>
    <w:p w14:paraId="5AC4076F">
      <w:pPr>
        <w:pStyle w:val="29"/>
        <w:keepNext w:val="0"/>
        <w:keepLines w:val="0"/>
        <w:pageBreakBefore w:val="0"/>
        <w:widowControl/>
        <w:kinsoku/>
        <w:wordWrap/>
        <w:overflowPunct/>
        <w:topLinePunct w:val="0"/>
        <w:autoSpaceDE/>
        <w:autoSpaceDN/>
        <w:bidi w:val="0"/>
        <w:adjustRightInd/>
        <w:snapToGrid/>
        <w:spacing w:before="240" w:after="240" w:line="520" w:lineRule="exact"/>
        <w:jc w:val="left"/>
        <w:textAlignment w:val="auto"/>
        <w:rPr>
          <w:rFonts w:ascii="Times New Roman" w:hAnsi="Times New Roman" w:eastAsia="Times New Roman" w:cs="Times New Roman"/>
          <w:kern w:val="0"/>
          <w:sz w:val="24"/>
          <w:u w:val="none" w:color="auto"/>
        </w:rPr>
      </w:pPr>
      <w:r>
        <w:rPr>
          <w:rFonts w:ascii="FangSong_GB2312" w:hAnsi="FangSong_GB2312" w:eastAsia="FangSong_GB2312" w:cs="FangSong_GB2312"/>
          <w:kern w:val="0"/>
          <w:sz w:val="32"/>
          <w:szCs w:val="32"/>
          <w:u w:val="none" w:color="auto"/>
        </w:rPr>
        <w:t>十、国有资本经营预算财政拨款支出决算情况说明</w:t>
      </w:r>
    </w:p>
    <w:p w14:paraId="3B685642">
      <w:pPr>
        <w:pStyle w:val="29"/>
        <w:keepNext w:val="0"/>
        <w:keepLines w:val="0"/>
        <w:pageBreakBefore w:val="0"/>
        <w:widowControl/>
        <w:kinsoku/>
        <w:wordWrap/>
        <w:overflowPunct/>
        <w:topLinePunct w:val="0"/>
        <w:autoSpaceDE/>
        <w:autoSpaceDN/>
        <w:bidi w:val="0"/>
        <w:adjustRightInd/>
        <w:snapToGrid/>
        <w:spacing w:before="240" w:after="240" w:line="520" w:lineRule="exact"/>
        <w:jc w:val="left"/>
        <w:textAlignment w:val="auto"/>
        <w:rPr>
          <w:rFonts w:ascii="Times New Roman" w:hAnsi="Times New Roman" w:eastAsia="Times New Roman" w:cs="Times New Roman"/>
          <w:kern w:val="0"/>
          <w:sz w:val="24"/>
          <w:u w:val="none" w:color="auto"/>
        </w:rPr>
      </w:pPr>
      <w:r>
        <w:rPr>
          <w:rFonts w:ascii="FangSong_GB2312" w:hAnsi="FangSong_GB2312" w:eastAsia="FangSong_GB2312" w:cs="FangSong_GB2312"/>
          <w:kern w:val="0"/>
          <w:sz w:val="32"/>
          <w:szCs w:val="32"/>
          <w:u w:val="none" w:color="auto"/>
        </w:rPr>
        <w:t>十一、机关运行经费（公用经费）支出决算情况说明</w:t>
      </w:r>
    </w:p>
    <w:p w14:paraId="6FDE6AB5">
      <w:pPr>
        <w:pStyle w:val="29"/>
        <w:keepNext w:val="0"/>
        <w:keepLines w:val="0"/>
        <w:pageBreakBefore w:val="0"/>
        <w:widowControl/>
        <w:kinsoku/>
        <w:wordWrap/>
        <w:overflowPunct/>
        <w:topLinePunct w:val="0"/>
        <w:autoSpaceDE/>
        <w:autoSpaceDN/>
        <w:bidi w:val="0"/>
        <w:adjustRightInd/>
        <w:snapToGrid/>
        <w:spacing w:before="240" w:after="240" w:line="520" w:lineRule="exact"/>
        <w:jc w:val="left"/>
        <w:textAlignment w:val="auto"/>
        <w:rPr>
          <w:rFonts w:ascii="Times New Roman" w:hAnsi="Times New Roman" w:eastAsia="Times New Roman" w:cs="Times New Roman"/>
          <w:kern w:val="0"/>
          <w:sz w:val="24"/>
          <w:u w:val="none" w:color="auto"/>
        </w:rPr>
      </w:pPr>
      <w:r>
        <w:rPr>
          <w:rFonts w:ascii="FangSong_GB2312" w:hAnsi="FangSong_GB2312" w:eastAsia="FangSong_GB2312" w:cs="FangSong_GB2312"/>
          <w:kern w:val="0"/>
          <w:sz w:val="32"/>
          <w:szCs w:val="32"/>
          <w:u w:val="none" w:color="auto"/>
        </w:rPr>
        <w:t>十二、政府采购支出决算情况说明</w:t>
      </w:r>
    </w:p>
    <w:p w14:paraId="63481D6F">
      <w:pPr>
        <w:pStyle w:val="29"/>
        <w:keepNext w:val="0"/>
        <w:keepLines w:val="0"/>
        <w:pageBreakBefore w:val="0"/>
        <w:widowControl/>
        <w:kinsoku/>
        <w:wordWrap/>
        <w:overflowPunct/>
        <w:topLinePunct w:val="0"/>
        <w:autoSpaceDE/>
        <w:autoSpaceDN/>
        <w:bidi w:val="0"/>
        <w:adjustRightInd/>
        <w:snapToGrid/>
        <w:spacing w:before="240" w:after="240" w:line="520" w:lineRule="exact"/>
        <w:jc w:val="left"/>
        <w:textAlignment w:val="auto"/>
        <w:rPr>
          <w:rFonts w:ascii="Times New Roman" w:hAnsi="Times New Roman" w:eastAsia="Times New Roman" w:cs="Times New Roman"/>
          <w:kern w:val="0"/>
          <w:sz w:val="24"/>
          <w:u w:val="none" w:color="auto"/>
        </w:rPr>
      </w:pPr>
      <w:r>
        <w:rPr>
          <w:rFonts w:ascii="FangSong_GB2312" w:hAnsi="FangSong_GB2312" w:eastAsia="FangSong_GB2312" w:cs="FangSong_GB2312"/>
          <w:kern w:val="0"/>
          <w:sz w:val="32"/>
          <w:szCs w:val="32"/>
          <w:u w:val="none" w:color="auto"/>
        </w:rPr>
        <w:t>十三、国有资产占用情况说明</w:t>
      </w:r>
    </w:p>
    <w:p w14:paraId="2AAD1F4A">
      <w:pPr>
        <w:pStyle w:val="29"/>
        <w:keepNext w:val="0"/>
        <w:keepLines w:val="0"/>
        <w:pageBreakBefore w:val="0"/>
        <w:widowControl/>
        <w:kinsoku/>
        <w:wordWrap/>
        <w:overflowPunct/>
        <w:topLinePunct w:val="0"/>
        <w:autoSpaceDE/>
        <w:autoSpaceDN/>
        <w:bidi w:val="0"/>
        <w:adjustRightInd/>
        <w:snapToGrid/>
        <w:spacing w:before="240" w:after="240" w:line="520" w:lineRule="exact"/>
        <w:jc w:val="left"/>
        <w:textAlignment w:val="auto"/>
        <w:rPr>
          <w:rFonts w:ascii="Times New Roman" w:hAnsi="Times New Roman" w:eastAsia="Times New Roman" w:cs="Times New Roman"/>
          <w:kern w:val="0"/>
          <w:sz w:val="24"/>
          <w:u w:val="none" w:color="auto"/>
        </w:rPr>
      </w:pPr>
      <w:r>
        <w:rPr>
          <w:rFonts w:ascii="FangSong_GB2312" w:hAnsi="FangSong_GB2312" w:eastAsia="FangSong_GB2312" w:cs="FangSong_GB2312"/>
          <w:kern w:val="0"/>
          <w:sz w:val="32"/>
          <w:szCs w:val="32"/>
          <w:u w:val="none" w:color="auto"/>
        </w:rPr>
        <w:t>十四、预算绩效情况说明</w:t>
      </w:r>
    </w:p>
    <w:p w14:paraId="7FE07367">
      <w:pPr>
        <w:pStyle w:val="29"/>
        <w:keepNext w:val="0"/>
        <w:keepLines w:val="0"/>
        <w:pageBreakBefore w:val="0"/>
        <w:widowControl/>
        <w:kinsoku/>
        <w:wordWrap/>
        <w:overflowPunct/>
        <w:topLinePunct w:val="0"/>
        <w:autoSpaceDE/>
        <w:autoSpaceDN/>
        <w:bidi w:val="0"/>
        <w:adjustRightInd/>
        <w:snapToGrid/>
        <w:spacing w:before="240" w:after="240" w:line="520" w:lineRule="exact"/>
        <w:jc w:val="left"/>
        <w:textAlignment w:val="auto"/>
        <w:rPr>
          <w:rFonts w:ascii="Times New Roman" w:hAnsi="Times New Roman" w:eastAsia="Times New Roman" w:cs="Times New Roman"/>
          <w:kern w:val="0"/>
          <w:sz w:val="24"/>
          <w:u w:val="none" w:color="auto"/>
        </w:rPr>
      </w:pPr>
      <w:r>
        <w:rPr>
          <w:rFonts w:ascii="黑体" w:hAnsi="黑体" w:eastAsia="黑体" w:cs="黑体"/>
          <w:kern w:val="0"/>
          <w:sz w:val="32"/>
          <w:szCs w:val="32"/>
          <w:u w:val="none" w:color="auto"/>
        </w:rPr>
        <w:t>第三部分</w:t>
      </w:r>
      <w:r>
        <w:rPr>
          <w:rFonts w:ascii="Calibri" w:hAnsi="Calibri" w:eastAsia="Calibri" w:cs="Calibri"/>
          <w:kern w:val="0"/>
          <w:sz w:val="32"/>
          <w:szCs w:val="32"/>
          <w:u w:val="none" w:color="auto"/>
          <w:lang w:eastAsia="en-US"/>
        </w:rPr>
        <w:t> </w:t>
      </w:r>
      <w:r>
        <w:rPr>
          <w:rFonts w:ascii="黑体" w:hAnsi="黑体" w:eastAsia="黑体" w:cs="黑体"/>
          <w:kern w:val="0"/>
          <w:sz w:val="32"/>
          <w:szCs w:val="32"/>
          <w:u w:val="none" w:color="auto"/>
          <w:lang w:eastAsia="en-US"/>
        </w:rPr>
        <w:t xml:space="preserve"> </w:t>
      </w:r>
      <w:r>
        <w:rPr>
          <w:rFonts w:ascii="黑体" w:hAnsi="黑体" w:eastAsia="黑体" w:cs="黑体"/>
          <w:kern w:val="0"/>
          <w:sz w:val="32"/>
          <w:szCs w:val="32"/>
          <w:u w:val="none" w:color="auto"/>
        </w:rPr>
        <w:t>名词解释</w:t>
      </w:r>
    </w:p>
    <w:p w14:paraId="5A82DB8B">
      <w:pPr>
        <w:pStyle w:val="29"/>
        <w:keepNext w:val="0"/>
        <w:keepLines w:val="0"/>
        <w:pageBreakBefore w:val="0"/>
        <w:widowControl/>
        <w:kinsoku/>
        <w:wordWrap/>
        <w:overflowPunct/>
        <w:topLinePunct w:val="0"/>
        <w:autoSpaceDE/>
        <w:autoSpaceDN/>
        <w:bidi w:val="0"/>
        <w:adjustRightInd/>
        <w:snapToGrid/>
        <w:spacing w:before="240" w:after="240" w:line="520" w:lineRule="exact"/>
        <w:jc w:val="left"/>
        <w:textAlignment w:val="auto"/>
        <w:rPr>
          <w:rFonts w:ascii="Times New Roman" w:hAnsi="Times New Roman" w:eastAsia="Times New Roman" w:cs="Times New Roman"/>
          <w:kern w:val="0"/>
          <w:sz w:val="24"/>
          <w:u w:val="none" w:color="auto"/>
        </w:rPr>
      </w:pPr>
      <w:r>
        <w:rPr>
          <w:rFonts w:ascii="黑体" w:hAnsi="黑体" w:eastAsia="黑体" w:cs="黑体"/>
          <w:kern w:val="0"/>
          <w:sz w:val="32"/>
          <w:szCs w:val="32"/>
          <w:u w:val="none" w:color="auto"/>
        </w:rPr>
        <w:t>第四部分</w:t>
      </w:r>
      <w:r>
        <w:rPr>
          <w:rFonts w:ascii="Calibri" w:hAnsi="Calibri" w:eastAsia="Calibri" w:cs="Calibri"/>
          <w:kern w:val="0"/>
          <w:sz w:val="32"/>
          <w:szCs w:val="32"/>
          <w:u w:val="none" w:color="auto"/>
          <w:lang w:eastAsia="en-US"/>
        </w:rPr>
        <w:t> </w:t>
      </w:r>
      <w:r>
        <w:rPr>
          <w:rFonts w:ascii="黑体" w:hAnsi="黑体" w:eastAsia="黑体" w:cs="黑体"/>
          <w:kern w:val="0"/>
          <w:sz w:val="32"/>
          <w:szCs w:val="32"/>
          <w:u w:val="none" w:color="auto"/>
          <w:lang w:eastAsia="en-US"/>
        </w:rPr>
        <w:t xml:space="preserve"> </w:t>
      </w:r>
      <w:r>
        <w:rPr>
          <w:rFonts w:ascii="黑体" w:hAnsi="黑体" w:eastAsia="黑体" w:cs="黑体"/>
          <w:kern w:val="0"/>
          <w:sz w:val="32"/>
          <w:szCs w:val="32"/>
          <w:u w:val="none" w:color="auto"/>
        </w:rPr>
        <w:t>决算公开联系方式及信息反馈渠道</w:t>
      </w:r>
    </w:p>
    <w:p w14:paraId="416F93BD">
      <w:pPr>
        <w:pStyle w:val="29"/>
        <w:keepNext w:val="0"/>
        <w:keepLines w:val="0"/>
        <w:pageBreakBefore w:val="0"/>
        <w:widowControl/>
        <w:kinsoku/>
        <w:wordWrap/>
        <w:overflowPunct/>
        <w:topLinePunct w:val="0"/>
        <w:autoSpaceDE/>
        <w:autoSpaceDN/>
        <w:bidi w:val="0"/>
        <w:adjustRightInd/>
        <w:snapToGrid/>
        <w:spacing w:before="240" w:after="240" w:line="520" w:lineRule="exact"/>
        <w:jc w:val="left"/>
        <w:textAlignment w:val="auto"/>
        <w:rPr>
          <w:rFonts w:ascii="Times New Roman" w:hAnsi="Times New Roman" w:eastAsia="Times New Roman" w:cs="Times New Roman"/>
          <w:kern w:val="0"/>
          <w:sz w:val="24"/>
          <w:u w:val="none" w:color="auto"/>
        </w:rPr>
      </w:pPr>
      <w:r>
        <w:rPr>
          <w:rFonts w:ascii="黑体" w:hAnsi="黑体" w:eastAsia="黑体" w:cs="黑体"/>
          <w:kern w:val="0"/>
          <w:sz w:val="32"/>
          <w:szCs w:val="32"/>
          <w:u w:val="none" w:color="auto"/>
        </w:rPr>
        <w:t>第五部分</w:t>
      </w:r>
      <w:r>
        <w:rPr>
          <w:rFonts w:ascii="Calibri" w:hAnsi="Calibri" w:eastAsia="Calibri" w:cs="Calibri"/>
          <w:kern w:val="0"/>
          <w:sz w:val="32"/>
          <w:szCs w:val="32"/>
          <w:u w:val="none" w:color="auto"/>
          <w:lang w:eastAsia="en-US"/>
        </w:rPr>
        <w:t> </w:t>
      </w:r>
      <w:r>
        <w:rPr>
          <w:rFonts w:ascii="黑体" w:hAnsi="黑体" w:eastAsia="黑体" w:cs="黑体"/>
          <w:kern w:val="0"/>
          <w:sz w:val="32"/>
          <w:szCs w:val="32"/>
          <w:u w:val="none" w:color="auto"/>
          <w:lang w:eastAsia="en-US"/>
        </w:rPr>
        <w:t xml:space="preserve"> </w:t>
      </w:r>
      <w:r>
        <w:rPr>
          <w:rFonts w:ascii="黑体" w:hAnsi="黑体" w:eastAsia="黑体" w:cs="黑体"/>
          <w:kern w:val="0"/>
          <w:sz w:val="32"/>
          <w:szCs w:val="32"/>
          <w:u w:val="none" w:color="auto"/>
        </w:rPr>
        <w:t>单位决算表</w:t>
      </w:r>
    </w:p>
    <w:p w14:paraId="39C12836">
      <w:pPr>
        <w:pStyle w:val="29"/>
        <w:keepNext w:val="0"/>
        <w:keepLines w:val="0"/>
        <w:pageBreakBefore w:val="0"/>
        <w:widowControl/>
        <w:kinsoku/>
        <w:wordWrap/>
        <w:overflowPunct/>
        <w:topLinePunct w:val="0"/>
        <w:autoSpaceDE/>
        <w:autoSpaceDN/>
        <w:bidi w:val="0"/>
        <w:adjustRightInd/>
        <w:snapToGrid/>
        <w:spacing w:before="240" w:after="240" w:line="520" w:lineRule="exact"/>
        <w:jc w:val="left"/>
        <w:textAlignment w:val="auto"/>
        <w:rPr>
          <w:rFonts w:ascii="Times New Roman" w:hAnsi="Times New Roman" w:eastAsia="Times New Roman" w:cs="Times New Roman"/>
          <w:kern w:val="0"/>
          <w:sz w:val="24"/>
          <w:u w:val="none" w:color="auto"/>
        </w:rPr>
      </w:pPr>
      <w:r>
        <w:rPr>
          <w:rFonts w:ascii="FangSong_GB2312" w:hAnsi="FangSong_GB2312" w:eastAsia="FangSong_GB2312" w:cs="FangSong_GB2312"/>
          <w:kern w:val="0"/>
          <w:sz w:val="32"/>
          <w:szCs w:val="32"/>
          <w:u w:val="none" w:color="auto"/>
        </w:rPr>
        <w:t>一、收入支出决算总表</w:t>
      </w:r>
    </w:p>
    <w:p w14:paraId="46A7CD35">
      <w:pPr>
        <w:pStyle w:val="29"/>
        <w:keepNext w:val="0"/>
        <w:keepLines w:val="0"/>
        <w:pageBreakBefore w:val="0"/>
        <w:widowControl/>
        <w:kinsoku/>
        <w:wordWrap/>
        <w:overflowPunct/>
        <w:topLinePunct w:val="0"/>
        <w:autoSpaceDE/>
        <w:autoSpaceDN/>
        <w:bidi w:val="0"/>
        <w:adjustRightInd/>
        <w:snapToGrid/>
        <w:spacing w:before="240" w:after="240" w:line="520" w:lineRule="exact"/>
        <w:jc w:val="left"/>
        <w:textAlignment w:val="auto"/>
        <w:rPr>
          <w:rFonts w:ascii="Times New Roman" w:hAnsi="Times New Roman" w:eastAsia="Times New Roman" w:cs="Times New Roman"/>
          <w:kern w:val="0"/>
          <w:sz w:val="24"/>
          <w:u w:val="none" w:color="auto"/>
        </w:rPr>
      </w:pPr>
      <w:r>
        <w:rPr>
          <w:rFonts w:ascii="FangSong_GB2312" w:hAnsi="FangSong_GB2312" w:eastAsia="FangSong_GB2312" w:cs="FangSong_GB2312"/>
          <w:kern w:val="0"/>
          <w:sz w:val="32"/>
          <w:szCs w:val="32"/>
          <w:u w:val="none" w:color="auto"/>
        </w:rPr>
        <w:t>二、收入决算表</w:t>
      </w:r>
    </w:p>
    <w:p w14:paraId="177C4193">
      <w:pPr>
        <w:pStyle w:val="29"/>
        <w:keepNext w:val="0"/>
        <w:keepLines w:val="0"/>
        <w:pageBreakBefore w:val="0"/>
        <w:widowControl/>
        <w:kinsoku/>
        <w:wordWrap/>
        <w:overflowPunct/>
        <w:topLinePunct w:val="0"/>
        <w:autoSpaceDE/>
        <w:autoSpaceDN/>
        <w:bidi w:val="0"/>
        <w:adjustRightInd/>
        <w:snapToGrid/>
        <w:spacing w:before="240" w:after="240" w:line="520" w:lineRule="exact"/>
        <w:jc w:val="left"/>
        <w:textAlignment w:val="auto"/>
        <w:rPr>
          <w:rFonts w:ascii="Times New Roman" w:hAnsi="Times New Roman" w:eastAsia="Times New Roman" w:cs="Times New Roman"/>
          <w:kern w:val="0"/>
          <w:sz w:val="24"/>
          <w:u w:val="none" w:color="auto"/>
        </w:rPr>
      </w:pPr>
      <w:r>
        <w:rPr>
          <w:rFonts w:ascii="FangSong_GB2312" w:hAnsi="FangSong_GB2312" w:eastAsia="FangSong_GB2312" w:cs="FangSong_GB2312"/>
          <w:kern w:val="0"/>
          <w:sz w:val="32"/>
          <w:szCs w:val="32"/>
          <w:u w:val="none" w:color="auto"/>
        </w:rPr>
        <w:t>三、支出决算表</w:t>
      </w:r>
    </w:p>
    <w:p w14:paraId="71F064EE">
      <w:pPr>
        <w:pStyle w:val="29"/>
        <w:keepNext w:val="0"/>
        <w:keepLines w:val="0"/>
        <w:pageBreakBefore w:val="0"/>
        <w:widowControl/>
        <w:kinsoku/>
        <w:wordWrap/>
        <w:overflowPunct/>
        <w:topLinePunct w:val="0"/>
        <w:autoSpaceDE/>
        <w:autoSpaceDN/>
        <w:bidi w:val="0"/>
        <w:adjustRightInd/>
        <w:snapToGrid/>
        <w:spacing w:before="240" w:after="240" w:line="520" w:lineRule="exact"/>
        <w:jc w:val="left"/>
        <w:textAlignment w:val="auto"/>
        <w:rPr>
          <w:rFonts w:ascii="Times New Roman" w:hAnsi="Times New Roman" w:eastAsia="Times New Roman" w:cs="Times New Roman"/>
          <w:kern w:val="0"/>
          <w:sz w:val="24"/>
          <w:u w:val="none" w:color="auto"/>
        </w:rPr>
      </w:pPr>
      <w:r>
        <w:rPr>
          <w:rFonts w:ascii="FangSong_GB2312" w:hAnsi="FangSong_GB2312" w:eastAsia="FangSong_GB2312" w:cs="FangSong_GB2312"/>
          <w:kern w:val="0"/>
          <w:sz w:val="32"/>
          <w:szCs w:val="32"/>
          <w:u w:val="none" w:color="auto"/>
        </w:rPr>
        <w:t>四、财政拨款收入支出决算总表</w:t>
      </w:r>
    </w:p>
    <w:p w14:paraId="33942CBA">
      <w:pPr>
        <w:pStyle w:val="29"/>
        <w:keepNext w:val="0"/>
        <w:keepLines w:val="0"/>
        <w:pageBreakBefore w:val="0"/>
        <w:widowControl/>
        <w:kinsoku/>
        <w:wordWrap/>
        <w:overflowPunct/>
        <w:topLinePunct w:val="0"/>
        <w:autoSpaceDE/>
        <w:autoSpaceDN/>
        <w:bidi w:val="0"/>
        <w:adjustRightInd/>
        <w:snapToGrid/>
        <w:spacing w:before="240" w:after="240" w:line="520" w:lineRule="exact"/>
        <w:jc w:val="left"/>
        <w:textAlignment w:val="auto"/>
        <w:rPr>
          <w:rFonts w:ascii="Times New Roman" w:hAnsi="Times New Roman" w:eastAsia="Times New Roman" w:cs="Times New Roman"/>
          <w:kern w:val="0"/>
          <w:sz w:val="24"/>
          <w:u w:val="none" w:color="auto"/>
        </w:rPr>
      </w:pPr>
      <w:r>
        <w:rPr>
          <w:rFonts w:ascii="FangSong_GB2312" w:hAnsi="FangSong_GB2312" w:eastAsia="FangSong_GB2312" w:cs="FangSong_GB2312"/>
          <w:kern w:val="0"/>
          <w:sz w:val="32"/>
          <w:szCs w:val="32"/>
          <w:u w:val="none" w:color="auto"/>
        </w:rPr>
        <w:t>五、一般公共预算财政拨款支出决算表</w:t>
      </w:r>
    </w:p>
    <w:p w14:paraId="245909D5">
      <w:pPr>
        <w:pStyle w:val="29"/>
        <w:keepNext w:val="0"/>
        <w:keepLines w:val="0"/>
        <w:pageBreakBefore w:val="0"/>
        <w:widowControl/>
        <w:kinsoku/>
        <w:wordWrap/>
        <w:overflowPunct/>
        <w:topLinePunct w:val="0"/>
        <w:autoSpaceDE/>
        <w:autoSpaceDN/>
        <w:bidi w:val="0"/>
        <w:adjustRightInd/>
        <w:snapToGrid/>
        <w:spacing w:before="240" w:after="240" w:line="520" w:lineRule="exact"/>
        <w:jc w:val="left"/>
        <w:textAlignment w:val="auto"/>
        <w:rPr>
          <w:rFonts w:ascii="Times New Roman" w:hAnsi="Times New Roman" w:eastAsia="Times New Roman" w:cs="Times New Roman"/>
          <w:kern w:val="0"/>
          <w:sz w:val="24"/>
          <w:u w:val="none" w:color="auto"/>
        </w:rPr>
      </w:pPr>
      <w:r>
        <w:rPr>
          <w:rFonts w:ascii="FangSong_GB2312" w:hAnsi="FangSong_GB2312" w:eastAsia="FangSong_GB2312" w:cs="FangSong_GB2312"/>
          <w:kern w:val="0"/>
          <w:sz w:val="32"/>
          <w:szCs w:val="32"/>
          <w:u w:val="none" w:color="auto"/>
        </w:rPr>
        <w:t>六、一般公共预算财政拨款基本支出决算明细表</w:t>
      </w:r>
    </w:p>
    <w:p w14:paraId="209EAC29">
      <w:pPr>
        <w:pStyle w:val="29"/>
        <w:keepNext w:val="0"/>
        <w:keepLines w:val="0"/>
        <w:pageBreakBefore w:val="0"/>
        <w:widowControl/>
        <w:kinsoku/>
        <w:wordWrap/>
        <w:overflowPunct/>
        <w:topLinePunct w:val="0"/>
        <w:autoSpaceDE/>
        <w:autoSpaceDN/>
        <w:bidi w:val="0"/>
        <w:adjustRightInd/>
        <w:snapToGrid/>
        <w:spacing w:before="240" w:after="240" w:line="520" w:lineRule="exact"/>
        <w:jc w:val="left"/>
        <w:textAlignment w:val="auto"/>
        <w:rPr>
          <w:rFonts w:ascii="Times New Roman" w:hAnsi="Times New Roman" w:eastAsia="Times New Roman" w:cs="Times New Roman"/>
          <w:kern w:val="0"/>
          <w:sz w:val="24"/>
          <w:u w:val="none" w:color="auto"/>
        </w:rPr>
      </w:pPr>
      <w:r>
        <w:rPr>
          <w:rFonts w:ascii="FangSong_GB2312" w:hAnsi="FangSong_GB2312" w:eastAsia="FangSong_GB2312" w:cs="FangSong_GB2312"/>
          <w:kern w:val="0"/>
          <w:sz w:val="32"/>
          <w:szCs w:val="32"/>
          <w:u w:val="none" w:color="auto"/>
        </w:rPr>
        <w:t>七、一般公共预算财政拨款项目支出决算明细表</w:t>
      </w:r>
    </w:p>
    <w:p w14:paraId="330B7C1E">
      <w:pPr>
        <w:pStyle w:val="29"/>
        <w:keepNext w:val="0"/>
        <w:keepLines w:val="0"/>
        <w:pageBreakBefore w:val="0"/>
        <w:widowControl/>
        <w:kinsoku/>
        <w:wordWrap/>
        <w:overflowPunct/>
        <w:topLinePunct w:val="0"/>
        <w:autoSpaceDE/>
        <w:autoSpaceDN/>
        <w:bidi w:val="0"/>
        <w:adjustRightInd/>
        <w:snapToGrid/>
        <w:spacing w:before="240" w:after="240" w:line="520" w:lineRule="exact"/>
        <w:jc w:val="left"/>
        <w:textAlignment w:val="auto"/>
        <w:rPr>
          <w:rFonts w:ascii="Times New Roman" w:hAnsi="Times New Roman" w:eastAsia="Times New Roman" w:cs="Times New Roman"/>
          <w:kern w:val="0"/>
          <w:sz w:val="24"/>
          <w:u w:val="none" w:color="auto"/>
        </w:rPr>
      </w:pPr>
      <w:r>
        <w:rPr>
          <w:rFonts w:ascii="FangSong_GB2312" w:hAnsi="FangSong_GB2312" w:eastAsia="FangSong_GB2312" w:cs="FangSong_GB2312"/>
          <w:kern w:val="0"/>
          <w:sz w:val="32"/>
          <w:szCs w:val="32"/>
          <w:u w:val="none" w:color="auto"/>
        </w:rPr>
        <w:t>八、政府性基金预算财政拨款收入支出决算表</w:t>
      </w:r>
    </w:p>
    <w:p w14:paraId="4BE93E62">
      <w:pPr>
        <w:pStyle w:val="29"/>
        <w:keepNext w:val="0"/>
        <w:keepLines w:val="0"/>
        <w:pageBreakBefore w:val="0"/>
        <w:widowControl/>
        <w:kinsoku/>
        <w:wordWrap/>
        <w:overflowPunct/>
        <w:topLinePunct w:val="0"/>
        <w:autoSpaceDE/>
        <w:autoSpaceDN/>
        <w:bidi w:val="0"/>
        <w:adjustRightInd/>
        <w:snapToGrid/>
        <w:spacing w:before="240" w:after="240" w:line="520" w:lineRule="exact"/>
        <w:jc w:val="left"/>
        <w:textAlignment w:val="auto"/>
        <w:rPr>
          <w:rFonts w:ascii="Times New Roman" w:hAnsi="Times New Roman" w:eastAsia="Times New Roman" w:cs="Times New Roman"/>
          <w:kern w:val="0"/>
          <w:sz w:val="24"/>
          <w:u w:val="none" w:color="auto"/>
        </w:rPr>
      </w:pPr>
      <w:r>
        <w:rPr>
          <w:rFonts w:ascii="FangSong_GB2312" w:hAnsi="FangSong_GB2312" w:eastAsia="FangSong_GB2312" w:cs="FangSong_GB2312"/>
          <w:kern w:val="0"/>
          <w:sz w:val="32"/>
          <w:szCs w:val="32"/>
          <w:u w:val="none" w:color="auto"/>
        </w:rPr>
        <w:t>九、国有资本经营预算财政拨款收入支出决算表</w:t>
      </w:r>
    </w:p>
    <w:p w14:paraId="447FB303">
      <w:pPr>
        <w:pStyle w:val="29"/>
        <w:keepNext w:val="0"/>
        <w:keepLines w:val="0"/>
        <w:pageBreakBefore w:val="0"/>
        <w:widowControl/>
        <w:kinsoku/>
        <w:wordWrap/>
        <w:overflowPunct/>
        <w:topLinePunct w:val="0"/>
        <w:autoSpaceDE/>
        <w:autoSpaceDN/>
        <w:bidi w:val="0"/>
        <w:adjustRightInd/>
        <w:snapToGrid/>
        <w:spacing w:before="240" w:after="240" w:line="520" w:lineRule="exact"/>
        <w:jc w:val="left"/>
        <w:textAlignment w:val="auto"/>
        <w:rPr>
          <w:rFonts w:ascii="Times New Roman" w:hAnsi="Times New Roman" w:eastAsia="Times New Roman" w:cs="Times New Roman"/>
          <w:kern w:val="0"/>
          <w:sz w:val="24"/>
          <w:u w:val="none" w:color="auto"/>
        </w:rPr>
      </w:pPr>
      <w:r>
        <w:rPr>
          <w:rFonts w:ascii="FangSong_GB2312" w:hAnsi="FangSong_GB2312" w:eastAsia="FangSong_GB2312" w:cs="FangSong_GB2312"/>
          <w:kern w:val="0"/>
          <w:sz w:val="32"/>
          <w:szCs w:val="32"/>
          <w:u w:val="none" w:color="auto"/>
        </w:rPr>
        <w:t>十、财政拨款“三公”经费支出决算表</w:t>
      </w:r>
    </w:p>
    <w:p w14:paraId="627A3B10">
      <w:pPr>
        <w:pStyle w:val="29"/>
        <w:keepNext w:val="0"/>
        <w:keepLines w:val="0"/>
        <w:pageBreakBefore w:val="0"/>
        <w:widowControl/>
        <w:kinsoku/>
        <w:wordWrap/>
        <w:overflowPunct/>
        <w:topLinePunct w:val="0"/>
        <w:autoSpaceDE/>
        <w:autoSpaceDN/>
        <w:bidi w:val="0"/>
        <w:adjustRightInd/>
        <w:snapToGrid/>
        <w:spacing w:before="240" w:after="240" w:line="520" w:lineRule="exact"/>
        <w:jc w:val="left"/>
        <w:textAlignment w:val="auto"/>
        <w:rPr>
          <w:rFonts w:ascii="方正小标宋简体" w:hAnsi="方正小标宋简体" w:eastAsia="方正小标宋简体" w:cs="方正小标宋简体"/>
          <w:b w:val="0"/>
          <w:bCs w:val="0"/>
          <w:kern w:val="0"/>
          <w:sz w:val="36"/>
          <w:szCs w:val="36"/>
          <w:u w:val="none" w:color="auto"/>
        </w:rPr>
      </w:pPr>
      <w:r>
        <w:rPr>
          <w:rFonts w:ascii="FangSong_GB2312" w:hAnsi="FangSong_GB2312" w:eastAsia="FangSong_GB2312" w:cs="FangSong_GB2312"/>
          <w:kern w:val="0"/>
          <w:sz w:val="32"/>
          <w:szCs w:val="32"/>
          <w:u w:val="none" w:color="auto"/>
        </w:rPr>
        <w:t>十一、机关运行经费支出、国有资产占用情况及政府采购支出信息表</w:t>
      </w:r>
    </w:p>
    <w:p w14:paraId="194B494B">
      <w:pPr>
        <w:pStyle w:val="3"/>
        <w:keepNext w:val="0"/>
        <w:keepLines w:val="0"/>
        <w:pageBreakBefore w:val="0"/>
        <w:widowControl/>
        <w:kinsoku/>
        <w:wordWrap/>
        <w:overflowPunct/>
        <w:topLinePunct w:val="0"/>
        <w:autoSpaceDE/>
        <w:autoSpaceDN/>
        <w:bidi w:val="0"/>
        <w:adjustRightInd/>
        <w:snapToGrid/>
        <w:spacing w:before="0" w:after="0" w:line="560" w:lineRule="exact"/>
        <w:ind w:left="0" w:right="0"/>
        <w:jc w:val="center"/>
        <w:textAlignment w:val="auto"/>
        <w:rPr>
          <w:rFonts w:ascii="Times New Roman" w:hAnsi="Times New Roman" w:eastAsia="Times New Roman" w:cs="Times New Roman"/>
          <w:b/>
          <w:bCs/>
          <w:kern w:val="0"/>
          <w:sz w:val="36"/>
          <w:szCs w:val="36"/>
          <w:u w:val="none" w:color="auto"/>
        </w:rPr>
      </w:pPr>
      <w:r>
        <w:rPr>
          <w:rFonts w:ascii="方正小标宋简体" w:hAnsi="方正小标宋简体" w:eastAsia="方正小标宋简体" w:cs="方正小标宋简体"/>
          <w:b w:val="0"/>
          <w:bCs w:val="0"/>
          <w:kern w:val="0"/>
          <w:sz w:val="36"/>
          <w:szCs w:val="36"/>
          <w:u w:val="none" w:color="auto"/>
        </w:rPr>
        <w:t>第一部分</w:t>
      </w:r>
      <w:r>
        <w:rPr>
          <w:rFonts w:ascii="方正小标宋简体" w:hAnsi="方正小标宋简体" w:eastAsia="方正小标宋简体" w:cs="方正小标宋简体"/>
          <w:b w:val="0"/>
          <w:bCs w:val="0"/>
          <w:kern w:val="0"/>
          <w:sz w:val="36"/>
          <w:szCs w:val="36"/>
          <w:u w:val="none" w:color="auto"/>
          <w:lang w:eastAsia="en-US"/>
        </w:rPr>
        <w:t xml:space="preserve">  </w:t>
      </w:r>
      <w:r>
        <w:rPr>
          <w:rFonts w:ascii="方正小标宋简体" w:hAnsi="方正小标宋简体" w:eastAsia="方正小标宋简体" w:cs="方正小标宋简体"/>
          <w:b w:val="0"/>
          <w:bCs w:val="0"/>
          <w:kern w:val="0"/>
          <w:sz w:val="36"/>
          <w:szCs w:val="36"/>
          <w:u w:val="none" w:color="auto"/>
        </w:rPr>
        <w:t>单位概况</w:t>
      </w:r>
    </w:p>
    <w:p w14:paraId="7019DEF0">
      <w:pPr>
        <w:pStyle w:val="29"/>
        <w:keepNext w:val="0"/>
        <w:keepLines w:val="0"/>
        <w:pageBreakBefore w:val="0"/>
        <w:widowControl/>
        <w:kinsoku/>
        <w:wordWrap/>
        <w:overflowPunct/>
        <w:topLinePunct w:val="0"/>
        <w:autoSpaceDE/>
        <w:autoSpaceDN/>
        <w:bidi w:val="0"/>
        <w:adjustRightInd/>
        <w:snapToGrid/>
        <w:spacing w:line="560" w:lineRule="exact"/>
        <w:ind w:firstLine="643"/>
        <w:jc w:val="left"/>
        <w:textAlignment w:val="auto"/>
        <w:rPr>
          <w:rFonts w:ascii="Times New Roman" w:hAnsi="Times New Roman" w:eastAsia="Times New Roman" w:cs="Times New Roman"/>
          <w:kern w:val="0"/>
          <w:sz w:val="24"/>
          <w:u w:val="none" w:color="auto"/>
        </w:rPr>
      </w:pPr>
      <w:r>
        <w:rPr>
          <w:rFonts w:ascii="黑体" w:hAnsi="黑体" w:eastAsia="黑体" w:cs="黑体"/>
          <w:b/>
          <w:bCs/>
          <w:kern w:val="0"/>
          <w:sz w:val="32"/>
          <w:szCs w:val="32"/>
          <w:u w:val="none" w:color="auto"/>
        </w:rPr>
        <w:t>一、主要职能、职责</w:t>
      </w:r>
    </w:p>
    <w:p w14:paraId="3AB60A94">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方正楷体_GB2312" w:hAnsi="方正楷体_GB2312" w:eastAsia="方正楷体_GB2312" w:cs="方正楷体_GB2312"/>
          <w:kern w:val="2"/>
          <w:sz w:val="32"/>
          <w:u w:val="none" w:color="auto"/>
        </w:rPr>
      </w:pPr>
      <w:r>
        <w:rPr>
          <w:rFonts w:hint="eastAsia" w:ascii="方正楷体_GB2312" w:hAnsi="方正楷体_GB2312" w:eastAsia="方正楷体_GB2312" w:cs="方正楷体_GB2312"/>
          <w:kern w:val="2"/>
          <w:sz w:val="32"/>
          <w:u w:val="none" w:color="auto"/>
        </w:rPr>
        <w:t>（一）部门职能</w:t>
      </w:r>
    </w:p>
    <w:p w14:paraId="5F338D46">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kern w:val="2"/>
          <w:sz w:val="32"/>
          <w:u w:val="none" w:color="auto"/>
        </w:rPr>
      </w:pPr>
      <w:r>
        <w:rPr>
          <w:rFonts w:hint="eastAsia" w:ascii="方正仿宋_GB2312" w:hAnsi="方正仿宋_GB2312" w:eastAsia="方正仿宋_GB2312" w:cs="方正仿宋_GB2312"/>
          <w:kern w:val="2"/>
          <w:sz w:val="32"/>
          <w:u w:val="none" w:color="auto"/>
        </w:rPr>
        <w:t>巴彦淖尔市卫生健康委员会是贯彻落实党中央关于卫生健康工作方针政策和自治区党委、市委相关决策部署，在履行职责过程中坚持和加强党对卫生健康工作和集中统一领导的人民政府工作部门。</w:t>
      </w:r>
    </w:p>
    <w:p w14:paraId="7581147F">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方正楷体_GB2312" w:hAnsi="方正楷体_GB2312" w:eastAsia="方正楷体_GB2312" w:cs="方正楷体_GB2312"/>
          <w:kern w:val="2"/>
          <w:sz w:val="32"/>
          <w:u w:val="none" w:color="auto"/>
        </w:rPr>
      </w:pPr>
      <w:r>
        <w:rPr>
          <w:rFonts w:hint="eastAsia" w:ascii="方正楷体_GB2312" w:hAnsi="方正楷体_GB2312" w:eastAsia="方正楷体_GB2312" w:cs="方正楷体_GB2312"/>
          <w:kern w:val="2"/>
          <w:sz w:val="32"/>
          <w:u w:val="none" w:color="auto"/>
        </w:rPr>
        <w:t>（二）部门主要职责</w:t>
      </w:r>
    </w:p>
    <w:p w14:paraId="256AB5D5">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kern w:val="2"/>
          <w:sz w:val="32"/>
          <w:u w:val="none" w:color="auto"/>
        </w:rPr>
      </w:pPr>
      <w:r>
        <w:rPr>
          <w:rFonts w:hint="eastAsia" w:ascii="方正仿宋_GB2312" w:hAnsi="方正仿宋_GB2312" w:eastAsia="方正仿宋_GB2312" w:cs="方正仿宋_GB2312"/>
          <w:kern w:val="2"/>
          <w:sz w:val="32"/>
          <w:u w:val="none" w:color="auto"/>
        </w:rPr>
        <w:t>1、贯彻落实有关卫生健康事业发展法律法规、政策、规划，研究拟定全市卫生健康政策并组织实施。统筹规划卫生健康资源配置，指导区域卫生健康规划的编制和实施。制定并组织实施推进卫生健康基本公共服务均等化、普惠化、便捷化和公共资源向基层延伸等政策措施。</w:t>
      </w:r>
    </w:p>
    <w:p w14:paraId="62FA4F40">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kern w:val="2"/>
          <w:sz w:val="32"/>
          <w:u w:val="none" w:color="auto"/>
        </w:rPr>
      </w:pPr>
      <w:r>
        <w:rPr>
          <w:rFonts w:hint="eastAsia" w:ascii="方正仿宋_GB2312" w:hAnsi="方正仿宋_GB2312" w:eastAsia="方正仿宋_GB2312" w:cs="方正仿宋_GB2312"/>
          <w:kern w:val="2"/>
          <w:sz w:val="32"/>
          <w:u w:val="none" w:color="auto"/>
        </w:rPr>
        <w:t>2、协调推进深化医药卫生体制改革，研究提出深化医药卫生体制改革重大方针、政策、措施的建议，组织深化公立医院综合改革，推进管办分离，健全现代医院管理制度，制定并组织实施推动卫生健康公共服务提供主体多元化、提供方式多样化的政策措施，提出医疗服务和药品价格政策的建议。</w:t>
      </w:r>
    </w:p>
    <w:p w14:paraId="478BDE6C">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kern w:val="2"/>
          <w:sz w:val="32"/>
          <w:u w:val="none" w:color="auto"/>
        </w:rPr>
      </w:pPr>
      <w:r>
        <w:rPr>
          <w:rFonts w:hint="eastAsia" w:ascii="方正仿宋_GB2312" w:hAnsi="方正仿宋_GB2312" w:eastAsia="方正仿宋_GB2312" w:cs="方正仿宋_GB2312"/>
          <w:kern w:val="2"/>
          <w:sz w:val="32"/>
          <w:u w:val="none" w:color="auto"/>
        </w:rPr>
        <w:t>3、制定并组织落实疾病预防控制规划以及严重危害人民健康公共卫生问题的干预措施，实施国家免疫规划，负责卫生应急工作，组织指导突发公共卫生事件的预防控制和各类突发公共事件的医疗卫生救援，牵头全市《烟草控制框架公约》履约工作。组织开展食品安全风险监测评估。</w:t>
      </w:r>
    </w:p>
    <w:p w14:paraId="55F66958">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kern w:val="2"/>
          <w:sz w:val="32"/>
          <w:u w:val="none" w:color="auto"/>
        </w:rPr>
      </w:pPr>
      <w:r>
        <w:rPr>
          <w:rFonts w:hint="eastAsia" w:ascii="方正仿宋_GB2312" w:hAnsi="方正仿宋_GB2312" w:eastAsia="方正仿宋_GB2312" w:cs="方正仿宋_GB2312"/>
          <w:kern w:val="2"/>
          <w:sz w:val="32"/>
          <w:u w:val="none" w:color="auto"/>
        </w:rPr>
        <w:t>4、参与拟订并协调落实应对人口老龄化各项政策措施，负责推进全市老年健康服务体系建设和医养结合工作。</w:t>
      </w:r>
    </w:p>
    <w:p w14:paraId="637BDC1A">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kern w:val="2"/>
          <w:sz w:val="32"/>
          <w:u w:val="none" w:color="auto"/>
        </w:rPr>
      </w:pPr>
      <w:r>
        <w:rPr>
          <w:rFonts w:hint="eastAsia" w:ascii="方正仿宋_GB2312" w:hAnsi="方正仿宋_GB2312" w:eastAsia="方正仿宋_GB2312" w:cs="方正仿宋_GB2312"/>
          <w:kern w:val="2"/>
          <w:sz w:val="32"/>
          <w:u w:val="none" w:color="auto"/>
        </w:rPr>
        <w:t>5、贯彻落实国家和自治区药物政策和基本药物制度。</w:t>
      </w:r>
    </w:p>
    <w:p w14:paraId="34122106">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kern w:val="2"/>
          <w:sz w:val="32"/>
          <w:u w:val="none" w:color="auto"/>
        </w:rPr>
      </w:pPr>
      <w:r>
        <w:rPr>
          <w:rFonts w:hint="eastAsia" w:ascii="方正仿宋_GB2312" w:hAnsi="方正仿宋_GB2312" w:eastAsia="方正仿宋_GB2312" w:cs="方正仿宋_GB2312"/>
          <w:kern w:val="2"/>
          <w:sz w:val="32"/>
          <w:u w:val="none" w:color="auto"/>
        </w:rPr>
        <w:t>6、负责职业范围内的职业卫生、放射卫生、环境卫生、学校卫生、公共场所卫生、饮用水卫生等公共卫生的监督管理，负责全市传染病防治监督，健全卫生健康综合监督体系。</w:t>
      </w:r>
    </w:p>
    <w:p w14:paraId="5BA68587">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kern w:val="2"/>
          <w:sz w:val="32"/>
          <w:u w:val="none" w:color="auto"/>
        </w:rPr>
      </w:pPr>
      <w:r>
        <w:rPr>
          <w:rFonts w:hint="eastAsia" w:ascii="方正仿宋_GB2312" w:hAnsi="方正仿宋_GB2312" w:eastAsia="方正仿宋_GB2312" w:cs="方正仿宋_GB2312"/>
          <w:kern w:val="2"/>
          <w:sz w:val="32"/>
          <w:u w:val="none" w:color="auto"/>
        </w:rPr>
        <w:t>7、制定医疗机构、医疗服务行业管理办法并监督实施，建立医疗服务评价和监督管理体系。会同有关部门指导实施卫生健康专业技术人员资格标准。组织实施医疗服务规范、标准和卫生健康专业技术人员执业规则、服务规范。</w:t>
      </w:r>
    </w:p>
    <w:p w14:paraId="767D4A39">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kern w:val="2"/>
          <w:sz w:val="32"/>
          <w:u w:val="none" w:color="auto"/>
        </w:rPr>
      </w:pPr>
      <w:r>
        <w:rPr>
          <w:rFonts w:hint="eastAsia" w:ascii="方正仿宋_GB2312" w:hAnsi="方正仿宋_GB2312" w:eastAsia="方正仿宋_GB2312" w:cs="方正仿宋_GB2312"/>
          <w:kern w:val="2"/>
          <w:sz w:val="32"/>
          <w:u w:val="none" w:color="auto"/>
        </w:rPr>
        <w:t>8、负责计划生育管理和服务工作，开展人口监测预警，研究提出人口与家庭发展相关政策建议，组织实施计划生育有关政策。</w:t>
      </w:r>
    </w:p>
    <w:p w14:paraId="2C5F08FE">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kern w:val="2"/>
          <w:sz w:val="32"/>
          <w:u w:val="none" w:color="auto"/>
        </w:rPr>
      </w:pPr>
      <w:r>
        <w:rPr>
          <w:rFonts w:hint="eastAsia" w:ascii="方正仿宋_GB2312" w:hAnsi="方正仿宋_GB2312" w:eastAsia="方正仿宋_GB2312" w:cs="方正仿宋_GB2312"/>
          <w:kern w:val="2"/>
          <w:sz w:val="32"/>
          <w:u w:val="none" w:color="auto"/>
        </w:rPr>
        <w:t>9、指导基层医疗卫生、妇幼健康服务体系和全科医生队伍建设，推进卫生健康科技创新发展。</w:t>
      </w:r>
    </w:p>
    <w:p w14:paraId="0DA26A14">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kern w:val="2"/>
          <w:sz w:val="32"/>
          <w:u w:val="none" w:color="auto"/>
        </w:rPr>
      </w:pPr>
      <w:r>
        <w:rPr>
          <w:rFonts w:hint="eastAsia" w:ascii="方正仿宋_GB2312" w:hAnsi="方正仿宋_GB2312" w:eastAsia="方正仿宋_GB2312" w:cs="方正仿宋_GB2312"/>
          <w:kern w:val="2"/>
          <w:sz w:val="32"/>
          <w:u w:val="none" w:color="auto"/>
        </w:rPr>
        <w:t>10、保障和促进蒙医药中医药医疗、保健、教育、科研、文化及相关产业的改革发展与对外交流合作，推进蒙医药中医药传承创新和振兴发展。</w:t>
      </w:r>
    </w:p>
    <w:p w14:paraId="1D4FAD49">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kern w:val="2"/>
          <w:sz w:val="32"/>
          <w:u w:val="none" w:color="auto"/>
        </w:rPr>
      </w:pPr>
      <w:r>
        <w:rPr>
          <w:rFonts w:hint="eastAsia" w:ascii="方正仿宋_GB2312" w:hAnsi="方正仿宋_GB2312" w:eastAsia="方正仿宋_GB2312" w:cs="方正仿宋_GB2312"/>
          <w:kern w:val="2"/>
          <w:sz w:val="32"/>
          <w:u w:val="none" w:color="auto"/>
        </w:rPr>
        <w:t>11、负责全市保健对象的医疗保健工作，承担全市重要会议与重大活动的医疗卫生保障任务。</w:t>
      </w:r>
    </w:p>
    <w:p w14:paraId="41A2813F">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kern w:val="2"/>
          <w:sz w:val="32"/>
          <w:u w:val="none" w:color="auto"/>
        </w:rPr>
      </w:pPr>
      <w:r>
        <w:rPr>
          <w:rFonts w:hint="eastAsia" w:ascii="方正仿宋_GB2312" w:hAnsi="方正仿宋_GB2312" w:eastAsia="方正仿宋_GB2312" w:cs="方正仿宋_GB2312"/>
          <w:kern w:val="2"/>
          <w:sz w:val="32"/>
          <w:u w:val="none" w:color="auto"/>
        </w:rPr>
        <w:t>12、负责全市老年健康工作。</w:t>
      </w:r>
    </w:p>
    <w:p w14:paraId="67A35848">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kern w:val="2"/>
          <w:sz w:val="32"/>
          <w:u w:val="none" w:color="auto"/>
        </w:rPr>
      </w:pPr>
      <w:r>
        <w:rPr>
          <w:rFonts w:hint="eastAsia" w:ascii="方正仿宋_GB2312" w:hAnsi="方正仿宋_GB2312" w:eastAsia="方正仿宋_GB2312" w:cs="方正仿宋_GB2312"/>
          <w:kern w:val="2"/>
          <w:sz w:val="32"/>
          <w:u w:val="none" w:color="auto"/>
        </w:rPr>
        <w:t>13、完成市委、政府交办的其他任务。</w:t>
      </w:r>
    </w:p>
    <w:p w14:paraId="0620F97F">
      <w:pPr>
        <w:pStyle w:val="29"/>
        <w:keepNext w:val="0"/>
        <w:keepLines w:val="0"/>
        <w:pageBreakBefore w:val="0"/>
        <w:widowControl/>
        <w:kinsoku/>
        <w:wordWrap/>
        <w:overflowPunct/>
        <w:topLinePunct w:val="0"/>
        <w:autoSpaceDE/>
        <w:autoSpaceDN/>
        <w:bidi w:val="0"/>
        <w:adjustRightInd/>
        <w:snapToGrid/>
        <w:spacing w:line="560" w:lineRule="exact"/>
        <w:ind w:firstLine="643"/>
        <w:jc w:val="left"/>
        <w:textAlignment w:val="auto"/>
        <w:rPr>
          <w:rFonts w:ascii="Times New Roman" w:hAnsi="Times New Roman" w:eastAsia="Times New Roman" w:cs="Times New Roman"/>
          <w:kern w:val="0"/>
          <w:sz w:val="24"/>
          <w:u w:val="none" w:color="auto"/>
        </w:rPr>
      </w:pPr>
      <w:r>
        <w:rPr>
          <w:rFonts w:ascii="黑体" w:hAnsi="黑体" w:eastAsia="黑体" w:cs="黑体"/>
          <w:b/>
          <w:bCs/>
          <w:kern w:val="0"/>
          <w:sz w:val="32"/>
          <w:szCs w:val="32"/>
          <w:u w:val="none" w:color="auto"/>
        </w:rPr>
        <w:t>二、单位机构设置及决算单位构成情况</w:t>
      </w:r>
    </w:p>
    <w:p w14:paraId="07976BB1">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方正仿宋_GB2312" w:hAnsi="方正仿宋_GB2312" w:eastAsia="方正仿宋_GB2312" w:cs="方正仿宋_GB2312"/>
          <w:kern w:val="0"/>
          <w:sz w:val="32"/>
          <w:szCs w:val="32"/>
          <w:u w:val="none" w:color="auto"/>
          <w:lang w:eastAsia="en-US"/>
        </w:rPr>
      </w:pPr>
      <w:r>
        <w:rPr>
          <w:rFonts w:hint="eastAsia" w:ascii="方正仿宋_GB2312" w:hAnsi="方正仿宋_GB2312" w:eastAsia="方正仿宋_GB2312" w:cs="方正仿宋_GB2312"/>
          <w:kern w:val="0"/>
          <w:sz w:val="32"/>
          <w:szCs w:val="32"/>
          <w:u w:val="none" w:color="auto"/>
          <w:lang w:eastAsia="en-US"/>
        </w:rPr>
        <w:t>1.根据单位职责分工，本单位内设科室包括办公室、机关党委、人事科、财务科、规划发展与信息科（信息化推进办公室）、传染病防治科、卫生与免疫规划科、预警与应急科、医政科（突发公共卫生事件应急指挥办公室）、体制改革科、法规科、食品安全科与药物政策科、基层卫生健康科、干部保健科、科技教育与宣传科（市爱国卫生运动委员会办公室）、综合监督与职业健康科、妇幼健康科、家庭发展与老龄健康科（离退休人员工作办公室）、蒙中医药管理科（局）（振兴蒙中医药推进办公室）。本单位无下属单位。</w:t>
      </w:r>
    </w:p>
    <w:p w14:paraId="6CE75D06">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方正仿宋_GB2312" w:hAnsi="方正仿宋_GB2312" w:eastAsia="方正仿宋_GB2312" w:cs="方正仿宋_GB2312"/>
          <w:kern w:val="0"/>
          <w:sz w:val="32"/>
          <w:szCs w:val="32"/>
          <w:u w:val="none" w:color="auto"/>
          <w:lang w:eastAsia="en-US"/>
        </w:rPr>
      </w:pPr>
      <w:r>
        <w:rPr>
          <w:rFonts w:hint="eastAsia" w:ascii="方正仿宋_GB2312" w:hAnsi="方正仿宋_GB2312" w:eastAsia="方正仿宋_GB2312" w:cs="方正仿宋_GB2312"/>
          <w:kern w:val="0"/>
          <w:sz w:val="32"/>
          <w:szCs w:val="32"/>
          <w:u w:val="none" w:color="auto"/>
          <w:lang w:eastAsia="en-US"/>
        </w:rPr>
        <w:t>2.从决算单位构成看，纳入本单位202</w:t>
      </w:r>
      <w:r>
        <w:rPr>
          <w:rFonts w:hint="eastAsia" w:ascii="方正仿宋_GB2312" w:hAnsi="方正仿宋_GB2312" w:eastAsia="方正仿宋_GB2312" w:cs="方正仿宋_GB2312"/>
          <w:kern w:val="0"/>
          <w:sz w:val="32"/>
          <w:szCs w:val="32"/>
          <w:u w:val="none" w:color="auto"/>
          <w:lang w:val="en-US" w:eastAsia="zh-CN"/>
        </w:rPr>
        <w:t>5</w:t>
      </w:r>
      <w:r>
        <w:rPr>
          <w:rFonts w:hint="eastAsia" w:ascii="方正仿宋_GB2312" w:hAnsi="方正仿宋_GB2312" w:eastAsia="方正仿宋_GB2312" w:cs="方正仿宋_GB2312"/>
          <w:kern w:val="0"/>
          <w:sz w:val="32"/>
          <w:szCs w:val="32"/>
          <w:u w:val="none" w:color="auto"/>
          <w:lang w:eastAsia="en-US"/>
        </w:rPr>
        <w:t>年度单位汇总决算编制范围的预算单位共计1家，详细情况见表：</w:t>
      </w:r>
    </w:p>
    <w:tbl>
      <w:tblPr>
        <w:tblStyle w:val="19"/>
        <w:tblW w:w="8522"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62"/>
        <w:gridCol w:w="3260"/>
        <w:gridCol w:w="4600"/>
      </w:tblGrid>
      <w:tr w14:paraId="467BD4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62" w:type="dxa"/>
            <w:tcBorders>
              <w:top w:val="single" w:color="auto" w:sz="6" w:space="0"/>
              <w:left w:val="single" w:color="auto" w:sz="6" w:space="0"/>
              <w:bottom w:val="single" w:color="auto" w:sz="6" w:space="0"/>
              <w:right w:val="single" w:color="auto" w:sz="6" w:space="0"/>
              <w:tl2br w:val="nil"/>
              <w:tr2bl w:val="nil"/>
            </w:tcBorders>
            <w:noWrap w:val="0"/>
            <w:vAlign w:val="top"/>
          </w:tcPr>
          <w:p w14:paraId="441CDBD9">
            <w:pPr>
              <w:keepNext w:val="0"/>
              <w:keepLines w:val="0"/>
              <w:pageBreakBefore w:val="0"/>
              <w:kinsoku/>
              <w:wordWrap/>
              <w:overflowPunct/>
              <w:topLinePunct w:val="0"/>
              <w:autoSpaceDE/>
              <w:autoSpaceDN/>
              <w:bidi w:val="0"/>
              <w:adjustRightInd/>
              <w:snapToGrid/>
              <w:spacing w:beforeLines="0" w:afterLines="0" w:line="560" w:lineRule="exact"/>
              <w:jc w:val="center"/>
              <w:textAlignment w:val="auto"/>
              <w:rPr>
                <w:rFonts w:hint="default" w:ascii="Times New Roman" w:hAnsi="Times New Roman" w:eastAsia="Times New Roman"/>
                <w:color w:val="000000"/>
                <w:sz w:val="31"/>
                <w:szCs w:val="24"/>
                <w:u w:val="none" w:color="auto"/>
              </w:rPr>
            </w:pPr>
            <w:r>
              <w:rPr>
                <w:rFonts w:hint="eastAsia" w:ascii="仿宋_GB2312" w:hAnsi="仿宋_GB2312" w:eastAsia="仿宋_GB2312"/>
                <w:color w:val="000000"/>
                <w:sz w:val="31"/>
                <w:szCs w:val="24"/>
                <w:u w:val="none" w:color="auto"/>
              </w:rPr>
              <w:t>序号</w:t>
            </w:r>
          </w:p>
        </w:tc>
        <w:tc>
          <w:tcPr>
            <w:tcW w:w="3260" w:type="dxa"/>
            <w:tcBorders>
              <w:top w:val="single" w:color="auto" w:sz="6" w:space="0"/>
              <w:left w:val="single" w:color="auto" w:sz="6" w:space="0"/>
              <w:bottom w:val="single" w:color="auto" w:sz="6" w:space="0"/>
              <w:right w:val="single" w:color="auto" w:sz="6" w:space="0"/>
              <w:tl2br w:val="nil"/>
              <w:tr2bl w:val="nil"/>
            </w:tcBorders>
            <w:noWrap w:val="0"/>
            <w:vAlign w:val="top"/>
          </w:tcPr>
          <w:p w14:paraId="3D81E856">
            <w:pPr>
              <w:keepNext w:val="0"/>
              <w:keepLines w:val="0"/>
              <w:pageBreakBefore w:val="0"/>
              <w:kinsoku/>
              <w:wordWrap/>
              <w:overflowPunct/>
              <w:topLinePunct w:val="0"/>
              <w:autoSpaceDE/>
              <w:autoSpaceDN/>
              <w:bidi w:val="0"/>
              <w:adjustRightInd/>
              <w:snapToGrid/>
              <w:spacing w:beforeLines="0" w:afterLines="0" w:line="560" w:lineRule="exact"/>
              <w:jc w:val="center"/>
              <w:textAlignment w:val="auto"/>
              <w:rPr>
                <w:rFonts w:hint="default" w:ascii="Times New Roman" w:hAnsi="Times New Roman" w:eastAsia="Times New Roman"/>
                <w:color w:val="000000"/>
                <w:sz w:val="31"/>
                <w:szCs w:val="24"/>
                <w:u w:val="none" w:color="auto"/>
              </w:rPr>
            </w:pPr>
            <w:r>
              <w:rPr>
                <w:rFonts w:hint="eastAsia" w:ascii="仿宋_GB2312" w:hAnsi="仿宋_GB2312" w:eastAsia="仿宋_GB2312"/>
                <w:color w:val="000000"/>
                <w:sz w:val="31"/>
                <w:szCs w:val="24"/>
                <w:u w:val="none" w:color="auto"/>
              </w:rPr>
              <w:t>单位名称</w:t>
            </w:r>
          </w:p>
        </w:tc>
        <w:tc>
          <w:tcPr>
            <w:tcW w:w="4600" w:type="dxa"/>
            <w:tcBorders>
              <w:top w:val="single" w:color="auto" w:sz="6" w:space="0"/>
              <w:left w:val="single" w:color="auto" w:sz="6" w:space="0"/>
              <w:bottom w:val="single" w:color="auto" w:sz="6" w:space="0"/>
              <w:right w:val="single" w:color="auto" w:sz="6" w:space="0"/>
              <w:tl2br w:val="nil"/>
              <w:tr2bl w:val="nil"/>
            </w:tcBorders>
            <w:noWrap w:val="0"/>
            <w:vAlign w:val="top"/>
          </w:tcPr>
          <w:p w14:paraId="6470702F">
            <w:pPr>
              <w:keepNext w:val="0"/>
              <w:keepLines w:val="0"/>
              <w:pageBreakBefore w:val="0"/>
              <w:kinsoku/>
              <w:wordWrap/>
              <w:overflowPunct/>
              <w:topLinePunct w:val="0"/>
              <w:autoSpaceDE/>
              <w:autoSpaceDN/>
              <w:bidi w:val="0"/>
              <w:adjustRightInd/>
              <w:snapToGrid/>
              <w:spacing w:beforeLines="0" w:afterLines="0" w:line="560" w:lineRule="exact"/>
              <w:jc w:val="center"/>
              <w:textAlignment w:val="auto"/>
              <w:rPr>
                <w:rFonts w:hint="default" w:ascii="Times New Roman" w:hAnsi="Times New Roman" w:eastAsia="Times New Roman"/>
                <w:color w:val="000000"/>
                <w:sz w:val="31"/>
                <w:szCs w:val="24"/>
                <w:u w:val="none" w:color="auto"/>
              </w:rPr>
            </w:pPr>
            <w:r>
              <w:rPr>
                <w:rFonts w:hint="eastAsia" w:ascii="仿宋_GB2312" w:hAnsi="仿宋_GB2312" w:eastAsia="仿宋_GB2312"/>
                <w:color w:val="000000"/>
                <w:sz w:val="31"/>
                <w:szCs w:val="24"/>
                <w:u w:val="none" w:color="auto"/>
              </w:rPr>
              <w:t>单位性质</w:t>
            </w:r>
          </w:p>
        </w:tc>
      </w:tr>
      <w:tr w14:paraId="2AE33C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62" w:type="dxa"/>
            <w:tcBorders>
              <w:top w:val="single" w:color="auto" w:sz="6" w:space="0"/>
              <w:left w:val="single" w:color="auto" w:sz="6" w:space="0"/>
              <w:bottom w:val="single" w:color="auto" w:sz="6" w:space="0"/>
              <w:right w:val="single" w:color="auto" w:sz="6" w:space="0"/>
              <w:tl2br w:val="nil"/>
              <w:tr2bl w:val="nil"/>
            </w:tcBorders>
            <w:noWrap w:val="0"/>
            <w:vAlign w:val="top"/>
          </w:tcPr>
          <w:p w14:paraId="3FDCFA76">
            <w:pPr>
              <w:keepNext w:val="0"/>
              <w:keepLines w:val="0"/>
              <w:pageBreakBefore w:val="0"/>
              <w:kinsoku/>
              <w:wordWrap/>
              <w:overflowPunct/>
              <w:topLinePunct w:val="0"/>
              <w:autoSpaceDE/>
              <w:autoSpaceDN/>
              <w:bidi w:val="0"/>
              <w:adjustRightInd/>
              <w:snapToGrid/>
              <w:spacing w:beforeLines="0" w:afterLines="0" w:line="560" w:lineRule="exact"/>
              <w:jc w:val="center"/>
              <w:textAlignment w:val="auto"/>
              <w:rPr>
                <w:rFonts w:hint="default" w:ascii="Times New Roman" w:hAnsi="Times New Roman" w:eastAsia="Times New Roman"/>
                <w:color w:val="000000"/>
                <w:sz w:val="31"/>
                <w:szCs w:val="24"/>
                <w:u w:val="none" w:color="auto"/>
              </w:rPr>
            </w:pPr>
            <w:r>
              <w:rPr>
                <w:rFonts w:hint="default" w:ascii="Times New Roman" w:hAnsi="Times New Roman" w:eastAsia="Times New Roman"/>
                <w:color w:val="000000"/>
                <w:sz w:val="31"/>
                <w:szCs w:val="24"/>
                <w:u w:val="none" w:color="auto"/>
              </w:rPr>
              <w:t>1</w:t>
            </w:r>
          </w:p>
        </w:tc>
        <w:tc>
          <w:tcPr>
            <w:tcW w:w="3260" w:type="dxa"/>
            <w:tcBorders>
              <w:top w:val="single" w:color="auto" w:sz="6" w:space="0"/>
              <w:left w:val="single" w:color="auto" w:sz="6" w:space="0"/>
              <w:bottom w:val="single" w:color="auto" w:sz="6" w:space="0"/>
              <w:right w:val="single" w:color="auto" w:sz="6" w:space="0"/>
              <w:tl2br w:val="nil"/>
              <w:tr2bl w:val="nil"/>
            </w:tcBorders>
            <w:noWrap w:val="0"/>
            <w:vAlign w:val="top"/>
          </w:tcPr>
          <w:p w14:paraId="66E07007">
            <w:pPr>
              <w:keepNext w:val="0"/>
              <w:keepLines w:val="0"/>
              <w:pageBreakBefore w:val="0"/>
              <w:kinsoku/>
              <w:wordWrap/>
              <w:overflowPunct/>
              <w:topLinePunct w:val="0"/>
              <w:autoSpaceDE/>
              <w:autoSpaceDN/>
              <w:bidi w:val="0"/>
              <w:adjustRightInd/>
              <w:snapToGrid/>
              <w:spacing w:beforeLines="0" w:afterLines="0" w:line="560" w:lineRule="exact"/>
              <w:jc w:val="center"/>
              <w:textAlignment w:val="auto"/>
              <w:rPr>
                <w:rFonts w:hint="default" w:ascii="Times New Roman" w:hAnsi="Times New Roman" w:eastAsia="宋体"/>
                <w:color w:val="000000"/>
                <w:sz w:val="31"/>
                <w:szCs w:val="24"/>
                <w:u w:val="none" w:color="auto"/>
                <w:lang w:val="en-US" w:eastAsia="zh-CN"/>
              </w:rPr>
            </w:pPr>
            <w:r>
              <w:rPr>
                <w:rFonts w:hint="eastAsia" w:ascii="仿宋_GB2312" w:hAnsi="仿宋_GB2312" w:eastAsia="仿宋_GB2312"/>
                <w:color w:val="000000"/>
                <w:sz w:val="31"/>
                <w:szCs w:val="24"/>
                <w:u w:val="none" w:color="auto"/>
                <w:lang w:val="en-US" w:eastAsia="zh-CN"/>
              </w:rPr>
              <w:t>巴彦淖尔市卫生健康委员会</w:t>
            </w:r>
          </w:p>
        </w:tc>
        <w:tc>
          <w:tcPr>
            <w:tcW w:w="4600" w:type="dxa"/>
            <w:tcBorders>
              <w:top w:val="single" w:color="auto" w:sz="6" w:space="0"/>
              <w:left w:val="single" w:color="auto" w:sz="6" w:space="0"/>
              <w:bottom w:val="single" w:color="auto" w:sz="6" w:space="0"/>
              <w:right w:val="single" w:color="auto" w:sz="6" w:space="0"/>
              <w:tl2br w:val="nil"/>
              <w:tr2bl w:val="nil"/>
            </w:tcBorders>
            <w:noWrap w:val="0"/>
            <w:vAlign w:val="top"/>
          </w:tcPr>
          <w:p w14:paraId="129958AF">
            <w:pPr>
              <w:keepNext w:val="0"/>
              <w:keepLines w:val="0"/>
              <w:pageBreakBefore w:val="0"/>
              <w:kinsoku/>
              <w:wordWrap/>
              <w:overflowPunct/>
              <w:topLinePunct w:val="0"/>
              <w:autoSpaceDE/>
              <w:autoSpaceDN/>
              <w:bidi w:val="0"/>
              <w:adjustRightInd/>
              <w:snapToGrid/>
              <w:spacing w:beforeLines="0" w:afterLines="0" w:line="560" w:lineRule="exact"/>
              <w:jc w:val="center"/>
              <w:textAlignment w:val="auto"/>
              <w:rPr>
                <w:rFonts w:hint="default" w:ascii="Times New Roman" w:hAnsi="Times New Roman" w:eastAsia="Times New Roman"/>
                <w:color w:val="000000"/>
                <w:sz w:val="31"/>
                <w:szCs w:val="24"/>
                <w:u w:val="none" w:color="auto"/>
              </w:rPr>
            </w:pPr>
            <w:r>
              <w:rPr>
                <w:rFonts w:hint="eastAsia" w:ascii="仿宋_GB2312" w:hAnsi="仿宋_GB2312" w:eastAsia="仿宋_GB2312"/>
                <w:color w:val="000000"/>
                <w:sz w:val="31"/>
                <w:szCs w:val="24"/>
                <w:u w:val="none" w:color="auto"/>
              </w:rPr>
              <w:t>财政拨款的行政单位</w:t>
            </w:r>
          </w:p>
        </w:tc>
      </w:tr>
    </w:tbl>
    <w:p w14:paraId="1E4CD9F5">
      <w:pPr>
        <w:pStyle w:val="29"/>
        <w:keepNext w:val="0"/>
        <w:keepLines w:val="0"/>
        <w:pageBreakBefore w:val="0"/>
        <w:widowControl/>
        <w:kinsoku/>
        <w:wordWrap/>
        <w:overflowPunct/>
        <w:topLinePunct w:val="0"/>
        <w:autoSpaceDE/>
        <w:autoSpaceDN/>
        <w:bidi w:val="0"/>
        <w:adjustRightInd/>
        <w:snapToGrid/>
        <w:spacing w:line="560" w:lineRule="exact"/>
        <w:ind w:firstLine="643" w:firstLineChars="200"/>
        <w:jc w:val="left"/>
        <w:textAlignment w:val="auto"/>
        <w:rPr>
          <w:rFonts w:ascii="Times New Roman" w:hAnsi="Times New Roman" w:eastAsia="Times New Roman" w:cs="Times New Roman"/>
          <w:kern w:val="0"/>
          <w:sz w:val="24"/>
          <w:u w:val="none" w:color="auto"/>
        </w:rPr>
      </w:pPr>
      <w:r>
        <w:rPr>
          <w:rFonts w:ascii="黑体" w:hAnsi="黑体" w:eastAsia="黑体" w:cs="黑体"/>
          <w:b/>
          <w:bCs/>
          <w:kern w:val="0"/>
          <w:sz w:val="32"/>
          <w:szCs w:val="32"/>
          <w:u w:val="none" w:color="auto"/>
        </w:rPr>
        <w:t>三、</w:t>
      </w:r>
      <w:r>
        <w:rPr>
          <w:rFonts w:eastAsia="Times New Roman"/>
          <w:b/>
          <w:bCs/>
          <w:kern w:val="0"/>
          <w:sz w:val="32"/>
          <w:szCs w:val="32"/>
          <w:u w:val="none" w:color="auto"/>
          <w:lang w:eastAsia="en-US"/>
        </w:rPr>
        <w:t>2025</w:t>
      </w:r>
      <w:r>
        <w:rPr>
          <w:rFonts w:ascii="黑体" w:hAnsi="黑体" w:eastAsia="黑体" w:cs="黑体"/>
          <w:b/>
          <w:bCs/>
          <w:kern w:val="0"/>
          <w:sz w:val="32"/>
          <w:szCs w:val="32"/>
          <w:u w:val="none" w:color="auto"/>
        </w:rPr>
        <w:t>年度单位主要工作完成情况</w:t>
      </w:r>
    </w:p>
    <w:p w14:paraId="285DD101">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方正楷体_GB2312" w:hAnsi="方正楷体_GB2312" w:eastAsia="方正楷体_GB2312" w:cs="方正楷体_GB2312"/>
          <w:b w:val="0"/>
          <w:bCs w:val="0"/>
          <w:color w:val="auto"/>
          <w:kern w:val="0"/>
          <w:sz w:val="32"/>
          <w:szCs w:val="32"/>
          <w:u w:val="none" w:color="auto"/>
          <w:lang w:eastAsia="en-US"/>
        </w:rPr>
      </w:pPr>
      <w:r>
        <w:rPr>
          <w:rFonts w:hint="eastAsia" w:ascii="方正楷体_GB2312" w:hAnsi="方正楷体_GB2312" w:eastAsia="方正楷体_GB2312" w:cs="方正楷体_GB2312"/>
          <w:b w:val="0"/>
          <w:bCs w:val="0"/>
          <w:color w:val="auto"/>
          <w:kern w:val="0"/>
          <w:sz w:val="32"/>
          <w:szCs w:val="32"/>
          <w:u w:val="none" w:color="auto"/>
          <w:lang w:eastAsia="en-US"/>
        </w:rPr>
        <w:t>（一）重点工作完成情况</w:t>
      </w:r>
    </w:p>
    <w:p w14:paraId="1B0E1DC9">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color w:val="auto"/>
          <w:kern w:val="0"/>
          <w:sz w:val="32"/>
          <w:szCs w:val="32"/>
          <w:u w:val="none" w:color="auto"/>
          <w:lang w:eastAsia="en-US"/>
        </w:rPr>
      </w:pPr>
      <w:r>
        <w:rPr>
          <w:rFonts w:hint="eastAsia" w:ascii="方正仿宋_GB2312" w:hAnsi="方正仿宋_GB2312" w:eastAsia="方正仿宋_GB2312" w:cs="方正仿宋_GB2312"/>
          <w:color w:val="auto"/>
          <w:kern w:val="0"/>
          <w:sz w:val="32"/>
          <w:szCs w:val="32"/>
          <w:u w:val="none" w:color="auto"/>
          <w:lang w:eastAsia="en-US"/>
        </w:rPr>
        <w:t>一是医药卫生体制改革稳步推进。建立了六部门“三医”协同“六方”联动专项改革工作机制，全面推广三明经验，制定并实施持续深化医药卫生体制改革三年行动方案，强化医疗价格、医保支付、人事编制等重点领域协同。完成608项医疗服务价格调整，公立医院医疗服务收入（不含药品、耗材、检验检查）占医疗收入比例达36.6%，较上年增长2%。</w:t>
      </w:r>
    </w:p>
    <w:p w14:paraId="7AD271E4">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color w:val="auto"/>
          <w:kern w:val="0"/>
          <w:sz w:val="32"/>
          <w:szCs w:val="32"/>
          <w:u w:val="none" w:color="auto"/>
          <w:lang w:eastAsia="en-US"/>
        </w:rPr>
      </w:pPr>
      <w:r>
        <w:rPr>
          <w:rFonts w:hint="eastAsia" w:ascii="方正仿宋_GB2312" w:hAnsi="方正仿宋_GB2312" w:eastAsia="方正仿宋_GB2312" w:cs="方正仿宋_GB2312"/>
          <w:color w:val="auto"/>
          <w:kern w:val="0"/>
          <w:sz w:val="32"/>
          <w:szCs w:val="32"/>
          <w:u w:val="none" w:color="auto"/>
          <w:lang w:eastAsia="en-US"/>
        </w:rPr>
        <w:t>二是紧密型县域医共体建设效能凸显。市级医共体监测信息管理系统上线运行，建成公卫数据质控系统，旗县区全部建成“资源共享五大中心”，完成远程诊断20.5万例，审核基层处方306.8万份，构建“基层检查、县级诊断、结果互认”的县域诊疗服务模式。临河区医共体信息化建设荣获国家现代医院管理典型案例，3个旗县获批上级项目资金6663万元。7个旗县区全部签订医共体医保总额付费协议，制定总额预算和拨付、结余留用与超支分担等配套措施。全年医共体内部下派专家325人次，为基层就诊患者提供诊疗服务5.2万余人次，让群众在家门口就近享受优质医疗服务。</w:t>
      </w:r>
    </w:p>
    <w:p w14:paraId="7036A812">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color w:val="auto"/>
          <w:kern w:val="0"/>
          <w:sz w:val="32"/>
          <w:szCs w:val="32"/>
          <w:u w:val="none" w:color="auto"/>
          <w:lang w:eastAsia="en-US"/>
        </w:rPr>
      </w:pPr>
      <w:r>
        <w:rPr>
          <w:rFonts w:hint="eastAsia" w:ascii="方正仿宋_GB2312" w:hAnsi="方正仿宋_GB2312" w:eastAsia="方正仿宋_GB2312" w:cs="方正仿宋_GB2312"/>
          <w:color w:val="auto"/>
          <w:kern w:val="0"/>
          <w:sz w:val="32"/>
          <w:szCs w:val="32"/>
          <w:u w:val="none" w:color="auto"/>
          <w:lang w:eastAsia="en-US"/>
        </w:rPr>
        <w:t>三是公立医院高质量发展全面加速。持续打造重点专科，结合地方疾病谱，聚焦群众就医需求大、异地转诊率高的病种，打造系统连续、功能互补的临床专科群。2025年，新获批2个自治区级临床重点专科。京蒙协作领域持续扩大，积极引入北京顶尖专科资源，累计邀请北京专家440余人次来我市开展诊疗指导，接诊疑难患者9000余人次，完成高难度手术4200余例，实施教学查房90余次，组织专题培训90余场，覆盖医务人员500余人次，开展远程会诊600余例，选派35名骨干人员赴北京进修学习。推进城市医疗集团、巡回医疗、对口帮扶等工作，推动三级医院医师以坐诊、会诊、查房、讲座和带教等多种方式帮扶基层，逐步提升基层医疗机构业务能力，累计下沉260人次，开展诊疗5000余人次、教学查房350余次，培训基层医务人员1000余人次。</w:t>
      </w:r>
    </w:p>
    <w:p w14:paraId="6E75B39B">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color w:val="auto"/>
          <w:kern w:val="0"/>
          <w:sz w:val="32"/>
          <w:szCs w:val="32"/>
          <w:u w:val="none" w:color="auto"/>
          <w:lang w:eastAsia="en-US"/>
        </w:rPr>
      </w:pPr>
      <w:r>
        <w:rPr>
          <w:rFonts w:hint="eastAsia" w:ascii="方正仿宋_GB2312" w:hAnsi="方正仿宋_GB2312" w:eastAsia="方正仿宋_GB2312" w:cs="方正仿宋_GB2312"/>
          <w:color w:val="auto"/>
          <w:kern w:val="0"/>
          <w:sz w:val="32"/>
          <w:szCs w:val="32"/>
          <w:u w:val="none" w:color="auto"/>
          <w:lang w:eastAsia="en-US"/>
        </w:rPr>
        <w:t>四是中医药（蒙医药）传承创新发展取得新成果。持续推进中医（蒙医）医院服务能力提升，2025年获评国家级中医优势专科1个，自治区级中医优势专科3个、中医重点学科4个、培育学科1个、遴选市级中医优势专科10个。获批省部级以上科研课题7项，市级科研课题13项。北京中医医院内蒙古医院获批自治区老年中医药（蒙医药）健康中心试点，旗县区级中医（蒙医）医院实现“两专科一中心”建设项目全覆盖。推动中医药服务能力延伸，北京中医医院内蒙古医院获批建设自治区区域康复中心，二级以上中医（蒙医）医院全部规范设置康复科、治未病科和老年病科，制定中医（蒙医）治未病服务方案5个，中医（蒙医）特色康复方案2个。累计推广中医适宜技术80项。持续推进中医馆（蒙医馆）提档升级，全市123家基层医疗机构全部设置了中医馆（蒙医馆），100%的中医馆（蒙医馆）达到优质型，配备了至少2名中（蒙）医医师，能够规范开展6类10项以上中医药（蒙医药）适宜技术。</w:t>
      </w:r>
    </w:p>
    <w:p w14:paraId="2A2CC186">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color w:val="auto"/>
          <w:kern w:val="0"/>
          <w:sz w:val="32"/>
          <w:szCs w:val="32"/>
          <w:u w:val="none" w:color="auto"/>
          <w:lang w:eastAsia="en-US"/>
        </w:rPr>
      </w:pPr>
      <w:r>
        <w:rPr>
          <w:rFonts w:hint="eastAsia" w:ascii="方正仿宋_GB2312" w:hAnsi="方正仿宋_GB2312" w:eastAsia="方正仿宋_GB2312" w:cs="方正仿宋_GB2312"/>
          <w:color w:val="auto"/>
          <w:kern w:val="0"/>
          <w:sz w:val="32"/>
          <w:szCs w:val="32"/>
          <w:u w:val="none" w:color="auto"/>
          <w:lang w:eastAsia="en-US"/>
        </w:rPr>
        <w:t>五是基层服务能力获得长足进步。乡村医生执业医师占比64.51%，78%的乡镇卫生院和社区卫生服务中心达到“优质服务基层行”能力标准。98.4%的乡镇卫生院和社区卫生服务中心提供儿科门诊服务。居民电子健康档案全部开放。为村卫生室配备357台联网心电图机。12类基本公卫服务项目拨付率96.91%，承担基本公共卫生服务的村卫生室，已全部纳入医保结算管理。健康扶贫重点监测入户核实率、分类救治率、家庭医生签约率均为100%。</w:t>
      </w:r>
    </w:p>
    <w:p w14:paraId="437066D3">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color w:val="auto"/>
          <w:kern w:val="0"/>
          <w:sz w:val="32"/>
          <w:szCs w:val="32"/>
          <w:u w:val="none" w:color="auto"/>
          <w:lang w:eastAsia="en-US"/>
        </w:rPr>
      </w:pPr>
      <w:r>
        <w:rPr>
          <w:rFonts w:hint="eastAsia" w:ascii="方正仿宋_GB2312" w:hAnsi="方正仿宋_GB2312" w:eastAsia="方正仿宋_GB2312" w:cs="方正仿宋_GB2312"/>
          <w:color w:val="auto"/>
          <w:kern w:val="0"/>
          <w:sz w:val="32"/>
          <w:szCs w:val="32"/>
          <w:u w:val="none" w:color="auto"/>
          <w:lang w:eastAsia="en-US"/>
        </w:rPr>
        <w:t>六是公共卫生服务能力大幅提升。市、县两级均设立了传染病监测预警中心，完成三级视频会商系统和网络安全外围改造工程，28家二级以上医疗机构切入正式运行环境并稳定运行，应用率100%，全市传染病报告率提升9个百分点，显著提升传染病早期预警能力。组织开展呼吸道传染病风险研判51次、传染病风险研判14次、流感监测信息7次、流感暴发疫情监测信息4次、麻疹疫情风险评估1次，开展鼠疫会商3次、布病防控会商2次，互通疫情信息11期。截至目前，本土新型冠状病毒变异监测完成率达129.55%，细菌性传染病实验室监测完成率103.98%。深入开展“体重管理年”活动，26家二级以上公立医疗机构增设体重管理门诊，接诊量达6008人次，与11个部门开展体重管理年健步走、问卷调查、社区宣讲等社会活动126项，惠及群众8万余人。</w:t>
      </w:r>
    </w:p>
    <w:p w14:paraId="462E8411">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color w:val="auto"/>
          <w:kern w:val="0"/>
          <w:sz w:val="32"/>
          <w:szCs w:val="32"/>
          <w:u w:val="none" w:color="auto"/>
          <w:lang w:eastAsia="en-US"/>
        </w:rPr>
      </w:pPr>
      <w:r>
        <w:rPr>
          <w:rFonts w:hint="eastAsia" w:ascii="方正仿宋_GB2312" w:hAnsi="方正仿宋_GB2312" w:eastAsia="方正仿宋_GB2312" w:cs="方正仿宋_GB2312"/>
          <w:color w:val="auto"/>
          <w:kern w:val="0"/>
          <w:sz w:val="32"/>
          <w:szCs w:val="32"/>
          <w:u w:val="none" w:color="auto"/>
          <w:lang w:eastAsia="en-US"/>
        </w:rPr>
        <w:t>七是支持人口均衡发展体系逐步完善。育儿补贴政策有序落地，全市线上审核通过252990人，审核率90%，首批中央资金7936万元已下达旗县。多渠道扩大托育服务供给，新增普惠托位461个，千人口托位数4.5个，2500万元国债项目市级托育中心建成投用，投入120万元设立8个“萌宝驿站”社区托育试点，77家幼儿园延伸托育服务，构建起以托育综合服务中心为枢纽、社区托育为补充、托幼一体化为支撑的多元立体托育服务网络。筑牢母婴安全防线，16家二级以上医院早孕门诊全覆盖，建成危重孕产妇救治中心8家、新生儿救治中心7家，创建医疗机构生育与儿童友好医院4家，市县均配置标准化妇幼保健院，婴儿和5岁以下儿童死亡率分别为2.37‰和2.71‰。优化老年就医服务，二级以上公立医院均设老年医学科、康复科，7个旗县区建成安宁疗护病区。建成医养结合机构17家，每个旗县区建成1个社区医养结合示范点。</w:t>
      </w:r>
    </w:p>
    <w:p w14:paraId="6FF3EFC8">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color w:val="auto"/>
          <w:kern w:val="0"/>
          <w:sz w:val="32"/>
          <w:szCs w:val="32"/>
          <w:u w:val="none" w:color="auto"/>
          <w:lang w:eastAsia="en-US"/>
        </w:rPr>
      </w:pPr>
      <w:r>
        <w:rPr>
          <w:rFonts w:hint="eastAsia" w:ascii="方正仿宋_GB2312" w:hAnsi="方正仿宋_GB2312" w:eastAsia="方正仿宋_GB2312" w:cs="方正仿宋_GB2312"/>
          <w:color w:val="auto"/>
          <w:kern w:val="0"/>
          <w:sz w:val="32"/>
          <w:szCs w:val="32"/>
          <w:u w:val="none" w:color="auto"/>
          <w:lang w:eastAsia="en-US"/>
        </w:rPr>
        <w:t>八是行风建设深入推进。开展医德医风建设三年行动，发现问题312个，依法依规处理42人，罚款6.97万元，医务人员拒收红包195个共16万元。整治重复检查违规收费问题516个，完善制度机制90项；整治殡葬领域腐败乱象问题78个，建立核心制度11项。</w:t>
      </w:r>
    </w:p>
    <w:p w14:paraId="43EBACDC">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方正楷体_GB2312" w:hAnsi="方正楷体_GB2312" w:eastAsia="方正楷体_GB2312" w:cs="方正楷体_GB2312"/>
          <w:b w:val="0"/>
          <w:bCs w:val="0"/>
          <w:color w:val="auto"/>
          <w:kern w:val="0"/>
          <w:sz w:val="32"/>
          <w:szCs w:val="32"/>
          <w:u w:val="none" w:color="auto"/>
          <w:lang w:eastAsia="en-US"/>
        </w:rPr>
      </w:pPr>
      <w:r>
        <w:rPr>
          <w:rFonts w:hint="eastAsia" w:ascii="方正楷体_GB2312" w:hAnsi="方正楷体_GB2312" w:eastAsia="方正楷体_GB2312" w:cs="方正楷体_GB2312"/>
          <w:b w:val="0"/>
          <w:bCs w:val="0"/>
          <w:color w:val="auto"/>
          <w:kern w:val="0"/>
          <w:sz w:val="32"/>
          <w:szCs w:val="32"/>
          <w:u w:val="none" w:color="auto"/>
          <w:lang w:eastAsia="en-US"/>
        </w:rPr>
        <w:t>（二）工作亮点</w:t>
      </w:r>
    </w:p>
    <w:p w14:paraId="45CBE278">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color w:val="auto"/>
          <w:kern w:val="0"/>
          <w:sz w:val="32"/>
          <w:szCs w:val="32"/>
          <w:u w:val="none" w:color="auto"/>
          <w:lang w:eastAsia="en-US"/>
        </w:rPr>
      </w:pPr>
      <w:r>
        <w:rPr>
          <w:rFonts w:hint="eastAsia" w:ascii="方正仿宋_GB2312" w:hAnsi="方正仿宋_GB2312" w:eastAsia="方正仿宋_GB2312" w:cs="方正仿宋_GB2312"/>
          <w:color w:val="auto"/>
          <w:kern w:val="0"/>
          <w:sz w:val="32"/>
          <w:szCs w:val="32"/>
          <w:u w:val="none" w:color="auto"/>
          <w:lang w:eastAsia="en-US"/>
        </w:rPr>
        <w:t>一是北京中医医院内蒙古医院内涵建设提质增效。优化专家派驻机制，通过“常驻+固定+临时”多元派驻模式，2025年累计派驻专家134人次，开设中医专病专台门诊100个，引进新技术、新项目24项。牵头组建自治区优势专科集群4个，打造优势病种76个。引进紧缺人才14人，选派25名骨干赴北京等高水平医院进修，5名专家获评包头医学院硕士研究生指导教师。开发中医药传承创新大健康产品10种、院内制剂2种。</w:t>
      </w:r>
    </w:p>
    <w:p w14:paraId="0BD40F89">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color w:val="auto"/>
          <w:kern w:val="0"/>
          <w:sz w:val="32"/>
          <w:szCs w:val="32"/>
          <w:u w:val="none" w:color="auto"/>
          <w:lang w:eastAsia="en-US"/>
        </w:rPr>
      </w:pPr>
      <w:r>
        <w:rPr>
          <w:rFonts w:hint="eastAsia" w:ascii="方正仿宋_GB2312" w:hAnsi="方正仿宋_GB2312" w:eastAsia="方正仿宋_GB2312" w:cs="方正仿宋_GB2312"/>
          <w:color w:val="auto"/>
          <w:kern w:val="0"/>
          <w:sz w:val="32"/>
          <w:szCs w:val="32"/>
          <w:u w:val="none" w:color="auto"/>
          <w:lang w:eastAsia="en-US"/>
        </w:rPr>
        <w:t>二是基层医疗服务能力实现提升。构建“城乡联动、资源共享、服务协同、信息互通”整合型县域医疗卫生服务体系，群众在家门口即可享受到上级医院的优质医疗服务。</w:t>
      </w:r>
    </w:p>
    <w:p w14:paraId="71883EF2">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方正仿宋_GB2312" w:hAnsi="方正仿宋_GB2312" w:eastAsia="方正仿宋_GB2312" w:cs="方正仿宋_GB2312"/>
          <w:kern w:val="0"/>
          <w:sz w:val="24"/>
          <w:u w:val="none" w:color="auto"/>
        </w:rPr>
      </w:pPr>
      <w:r>
        <w:rPr>
          <w:rFonts w:hint="eastAsia" w:ascii="方正仿宋_GB2312" w:hAnsi="方正仿宋_GB2312" w:eastAsia="方正仿宋_GB2312" w:cs="方正仿宋_GB2312"/>
          <w:color w:val="auto"/>
          <w:kern w:val="0"/>
          <w:sz w:val="32"/>
          <w:szCs w:val="32"/>
          <w:u w:val="none" w:color="auto"/>
          <w:lang w:eastAsia="en-US"/>
        </w:rPr>
        <w:t>三是信息赋能推动县域资源优化配置。市级监测平台与旗县区医共体数据中心互联互通，决策监管、数据共享能力再上新台阶，促进分级诊疗，推动资源和服务更加贴近居民群众，逐步实现“日常疾病在基层解决，一般病在市县解决”。</w:t>
      </w:r>
    </w:p>
    <w:p w14:paraId="71B70F00">
      <w:pPr>
        <w:pStyle w:val="3"/>
        <w:keepNext w:val="0"/>
        <w:keepLines w:val="0"/>
        <w:pageBreakBefore w:val="0"/>
        <w:widowControl/>
        <w:kinsoku/>
        <w:wordWrap/>
        <w:overflowPunct/>
        <w:topLinePunct w:val="0"/>
        <w:autoSpaceDE/>
        <w:autoSpaceDN/>
        <w:bidi w:val="0"/>
        <w:adjustRightInd/>
        <w:snapToGrid/>
        <w:spacing w:before="0" w:after="0" w:line="560" w:lineRule="exact"/>
        <w:ind w:left="0" w:right="0"/>
        <w:jc w:val="center"/>
        <w:textAlignment w:val="auto"/>
        <w:rPr>
          <w:rFonts w:ascii="Times New Roman" w:hAnsi="Times New Roman" w:eastAsia="Times New Roman" w:cs="Times New Roman"/>
          <w:b/>
          <w:bCs/>
          <w:kern w:val="0"/>
          <w:sz w:val="36"/>
          <w:szCs w:val="36"/>
          <w:u w:val="none" w:color="auto"/>
        </w:rPr>
      </w:pPr>
      <w:r>
        <w:rPr>
          <w:rFonts w:ascii="方正小标宋简体" w:hAnsi="方正小标宋简体" w:eastAsia="方正小标宋简体" w:cs="方正小标宋简体"/>
          <w:kern w:val="0"/>
          <w:sz w:val="36"/>
          <w:szCs w:val="36"/>
          <w:u w:val="none" w:color="auto"/>
        </w:rPr>
        <w:t>第二部分</w:t>
      </w:r>
      <w:r>
        <w:rPr>
          <w:rFonts w:ascii="Times New Roman" w:hAnsi="Times New Roman" w:eastAsia="Times New Roman" w:cs="Times New Roman"/>
          <w:kern w:val="0"/>
          <w:sz w:val="36"/>
          <w:szCs w:val="36"/>
          <w:u w:val="none" w:color="auto"/>
        </w:rPr>
        <w:t> </w:t>
      </w:r>
      <w:r>
        <w:rPr>
          <w:rFonts w:ascii="方正小标宋简体" w:hAnsi="方正小标宋简体" w:eastAsia="方正小标宋简体" w:cs="方正小标宋简体"/>
          <w:b w:val="0"/>
          <w:bCs w:val="0"/>
          <w:kern w:val="0"/>
          <w:sz w:val="36"/>
          <w:szCs w:val="36"/>
          <w:u w:val="none" w:color="auto"/>
        </w:rPr>
        <w:t xml:space="preserve"> </w:t>
      </w:r>
      <w:r>
        <w:rPr>
          <w:rFonts w:ascii="方正小标宋简体" w:hAnsi="方正小标宋简体" w:eastAsia="方正小标宋简体" w:cs="方正小标宋简体"/>
          <w:kern w:val="0"/>
          <w:sz w:val="36"/>
          <w:szCs w:val="36"/>
          <w:u w:val="none" w:color="auto"/>
        </w:rPr>
        <w:t>单位决算情况说明</w:t>
      </w:r>
    </w:p>
    <w:p w14:paraId="4CE81EEF">
      <w:pPr>
        <w:pStyle w:val="29"/>
        <w:keepNext w:val="0"/>
        <w:keepLines w:val="0"/>
        <w:pageBreakBefore w:val="0"/>
        <w:widowControl/>
        <w:kinsoku/>
        <w:wordWrap/>
        <w:overflowPunct/>
        <w:topLinePunct w:val="0"/>
        <w:autoSpaceDE/>
        <w:autoSpaceDN/>
        <w:bidi w:val="0"/>
        <w:adjustRightInd/>
        <w:snapToGrid/>
        <w:spacing w:line="560" w:lineRule="exact"/>
        <w:ind w:firstLine="643"/>
        <w:jc w:val="left"/>
        <w:textAlignment w:val="auto"/>
        <w:rPr>
          <w:rFonts w:ascii="Times New Roman" w:hAnsi="Times New Roman" w:eastAsia="Times New Roman" w:cs="Times New Roman"/>
          <w:kern w:val="0"/>
          <w:sz w:val="24"/>
          <w:u w:val="none" w:color="auto"/>
        </w:rPr>
      </w:pPr>
      <w:r>
        <w:rPr>
          <w:rFonts w:ascii="黑体" w:hAnsi="黑体" w:eastAsia="黑体" w:cs="黑体"/>
          <w:b/>
          <w:bCs/>
          <w:kern w:val="0"/>
          <w:sz w:val="32"/>
          <w:szCs w:val="32"/>
          <w:u w:val="none" w:color="auto"/>
        </w:rPr>
        <w:t>一、收入支出决算总体情况说明</w:t>
      </w:r>
    </w:p>
    <w:p w14:paraId="3E242B26">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ascii="Times New Roman" w:hAnsi="Times New Roman" w:eastAsia="Times New Roman" w:cs="Times New Roman"/>
          <w:kern w:val="0"/>
          <w:sz w:val="24"/>
          <w:u w:val="none" w:color="auto"/>
        </w:rPr>
      </w:pPr>
      <w:r>
        <w:rPr>
          <w:rFonts w:hint="eastAsia" w:ascii="方正仿宋_GB2312" w:hAnsi="方正仿宋_GB2312" w:eastAsia="方正仿宋_GB2312" w:cs="方正仿宋_GB2312"/>
          <w:color w:val="auto"/>
          <w:kern w:val="0"/>
          <w:sz w:val="32"/>
          <w:szCs w:val="32"/>
          <w:u w:val="none" w:color="auto"/>
          <w:lang w:val="en-US" w:eastAsia="en-US" w:bidi="ar-SA"/>
        </w:rPr>
        <w:t>内蒙古自治区巴彦淖尔市卫生健康委员会（本级） 2025年度收入、支出决算总计均为 1762.28万元。与年初预算相比，收、支总计各增加14.47万元，增长0.83%，</w:t>
      </w:r>
      <w:r>
        <w:rPr>
          <w:rFonts w:ascii="FangSong_GB2312" w:hAnsi="FangSong_GB2312" w:eastAsia="FangSong_GB2312" w:cs="FangSong_GB2312"/>
          <w:kern w:val="0"/>
          <w:sz w:val="32"/>
          <w:szCs w:val="32"/>
          <w:u w:val="none" w:color="auto"/>
          <w:shd w:val="clear" w:color="auto" w:fill="auto"/>
        </w:rPr>
        <w:t>变</w:t>
      </w:r>
      <w:r>
        <w:rPr>
          <w:rFonts w:hint="eastAsia" w:ascii="方正仿宋_GB2312" w:hAnsi="方正仿宋_GB2312" w:eastAsia="方正仿宋_GB2312" w:cs="方正仿宋_GB2312"/>
          <w:color w:val="auto"/>
          <w:kern w:val="0"/>
          <w:sz w:val="32"/>
          <w:szCs w:val="32"/>
          <w:u w:val="none" w:color="auto"/>
          <w:lang w:val="en-US" w:eastAsia="en-US" w:bidi="ar-SA"/>
        </w:rPr>
        <w:t>动原因：</w:t>
      </w:r>
      <w:r>
        <w:rPr>
          <w:rFonts w:hint="eastAsia" w:ascii="方正仿宋_GB2312" w:hAnsi="方正仿宋_GB2312" w:eastAsia="方正仿宋_GB2312" w:cs="方正仿宋_GB2312"/>
          <w:color w:val="auto"/>
          <w:kern w:val="0"/>
          <w:sz w:val="32"/>
          <w:szCs w:val="32"/>
          <w:u w:val="none" w:color="auto"/>
          <w:lang w:val="en-US" w:eastAsia="zh-CN" w:bidi="ar-SA"/>
        </w:rPr>
        <w:t>本年度正常收支变动</w:t>
      </w:r>
      <w:r>
        <w:rPr>
          <w:rFonts w:hint="eastAsia" w:ascii="方正仿宋_GB2312" w:hAnsi="方正仿宋_GB2312" w:eastAsia="方正仿宋_GB2312" w:cs="方正仿宋_GB2312"/>
          <w:color w:val="auto"/>
          <w:kern w:val="0"/>
          <w:sz w:val="32"/>
          <w:szCs w:val="32"/>
          <w:u w:val="none" w:color="auto"/>
          <w:lang w:val="en-US" w:eastAsia="en-US" w:bidi="ar-SA"/>
        </w:rPr>
        <w:t>；与上年决算相比，收、支总计各减少 102.58万元，下降5.50%。</w:t>
      </w:r>
      <w:r>
        <w:rPr>
          <w:rFonts w:ascii="FangSong_GB2312" w:hAnsi="FangSong_GB2312" w:eastAsia="FangSong_GB2312" w:cs="FangSong_GB2312"/>
          <w:kern w:val="0"/>
          <w:sz w:val="32"/>
          <w:szCs w:val="32"/>
          <w:u w:val="none" w:color="auto"/>
        </w:rPr>
        <w:t>其中：</w:t>
      </w:r>
    </w:p>
    <w:p w14:paraId="268835D9">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方正楷体_GB2312" w:hAnsi="方正楷体_GB2312" w:eastAsia="方正楷体_GB2312" w:cs="方正楷体_GB2312"/>
          <w:b w:val="0"/>
          <w:bCs w:val="0"/>
          <w:color w:val="auto"/>
          <w:kern w:val="0"/>
          <w:sz w:val="32"/>
          <w:szCs w:val="32"/>
          <w:u w:val="none" w:color="auto"/>
          <w:lang w:eastAsia="en-US"/>
        </w:rPr>
      </w:pPr>
      <w:r>
        <w:rPr>
          <w:rFonts w:hint="eastAsia" w:ascii="方正楷体_GB2312" w:hAnsi="方正楷体_GB2312" w:eastAsia="方正楷体_GB2312" w:cs="方正楷体_GB2312"/>
          <w:b w:val="0"/>
          <w:bCs w:val="0"/>
          <w:color w:val="auto"/>
          <w:kern w:val="0"/>
          <w:sz w:val="32"/>
          <w:szCs w:val="32"/>
          <w:u w:val="none" w:color="auto"/>
          <w:lang w:eastAsia="en-US"/>
        </w:rPr>
        <w:t>（一）收入决算总计 1762.28万元。包括：</w:t>
      </w:r>
    </w:p>
    <w:p w14:paraId="3A753249">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方正仿宋_GB2312" w:hAnsi="方正仿宋_GB2312" w:eastAsia="方正仿宋_GB2312" w:cs="方正仿宋_GB2312"/>
          <w:color w:val="auto"/>
          <w:kern w:val="0"/>
          <w:sz w:val="32"/>
          <w:szCs w:val="32"/>
          <w:u w:val="none" w:color="auto"/>
          <w:lang w:val="en-US" w:eastAsia="en-US" w:bidi="ar-SA"/>
        </w:rPr>
      </w:pPr>
      <w:r>
        <w:rPr>
          <w:rFonts w:hint="eastAsia" w:ascii="方正仿宋_GB2312" w:hAnsi="方正仿宋_GB2312" w:eastAsia="方正仿宋_GB2312" w:cs="方正仿宋_GB2312"/>
          <w:color w:val="auto"/>
          <w:kern w:val="0"/>
          <w:sz w:val="32"/>
          <w:szCs w:val="32"/>
          <w:u w:val="none" w:color="auto"/>
          <w:lang w:val="en-US" w:eastAsia="en-US" w:bidi="ar-SA"/>
        </w:rPr>
        <w:t>1.本年收入决算合计 1423.13万元。与上年决算相比，增加25.25万元，增长1.81%，变动原因：</w:t>
      </w:r>
      <w:r>
        <w:rPr>
          <w:rFonts w:hint="eastAsia" w:ascii="方正仿宋_GB2312" w:hAnsi="方正仿宋_GB2312" w:eastAsia="方正仿宋_GB2312" w:cs="方正仿宋_GB2312"/>
          <w:color w:val="auto"/>
          <w:kern w:val="0"/>
          <w:sz w:val="32"/>
          <w:szCs w:val="32"/>
          <w:u w:val="none" w:color="auto"/>
          <w:lang w:val="en-US" w:eastAsia="zh-CN" w:bidi="ar-SA"/>
        </w:rPr>
        <w:t>本年度死亡抚恤增加，卫生健康支出减少</w:t>
      </w:r>
      <w:r>
        <w:rPr>
          <w:rFonts w:hint="eastAsia" w:ascii="方正仿宋_GB2312" w:hAnsi="方正仿宋_GB2312" w:eastAsia="方正仿宋_GB2312" w:cs="方正仿宋_GB2312"/>
          <w:color w:val="auto"/>
          <w:kern w:val="0"/>
          <w:sz w:val="32"/>
          <w:szCs w:val="32"/>
          <w:u w:val="none" w:color="auto"/>
          <w:lang w:val="en-US" w:eastAsia="en-US" w:bidi="ar-SA"/>
        </w:rPr>
        <w:t>。</w:t>
      </w:r>
    </w:p>
    <w:p w14:paraId="3F1A7FF2">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方正仿宋_GB2312" w:hAnsi="方正仿宋_GB2312" w:eastAsia="方正仿宋_GB2312" w:cs="方正仿宋_GB2312"/>
          <w:color w:val="auto"/>
          <w:kern w:val="0"/>
          <w:sz w:val="32"/>
          <w:szCs w:val="32"/>
          <w:u w:val="none" w:color="auto"/>
          <w:lang w:val="en-US" w:eastAsia="en-US" w:bidi="ar-SA"/>
        </w:rPr>
      </w:pPr>
      <w:r>
        <w:rPr>
          <w:rFonts w:hint="eastAsia" w:ascii="方正仿宋_GB2312" w:hAnsi="方正仿宋_GB2312" w:eastAsia="方正仿宋_GB2312" w:cs="方正仿宋_GB2312"/>
          <w:color w:val="auto"/>
          <w:kern w:val="0"/>
          <w:sz w:val="32"/>
          <w:szCs w:val="32"/>
          <w:u w:val="none" w:color="auto"/>
          <w:lang w:val="en-US" w:eastAsia="en-US" w:bidi="ar-SA"/>
        </w:rPr>
        <w:t>2.使用非财政拨款结余（含专用结余）0万元。与上年决算相比，增加0万元，增长0%，变动原因：202</w:t>
      </w:r>
      <w:r>
        <w:rPr>
          <w:rFonts w:hint="eastAsia" w:ascii="方正仿宋_GB2312" w:hAnsi="方正仿宋_GB2312" w:eastAsia="方正仿宋_GB2312" w:cs="方正仿宋_GB2312"/>
          <w:color w:val="auto"/>
          <w:kern w:val="0"/>
          <w:sz w:val="32"/>
          <w:szCs w:val="32"/>
          <w:u w:val="none" w:color="auto"/>
          <w:lang w:val="en-US" w:eastAsia="zh-CN" w:bidi="ar-SA"/>
        </w:rPr>
        <w:t>4</w:t>
      </w:r>
      <w:r>
        <w:rPr>
          <w:rFonts w:hint="eastAsia" w:ascii="方正仿宋_GB2312" w:hAnsi="方正仿宋_GB2312" w:eastAsia="方正仿宋_GB2312" w:cs="方正仿宋_GB2312"/>
          <w:color w:val="auto"/>
          <w:kern w:val="0"/>
          <w:sz w:val="32"/>
          <w:szCs w:val="32"/>
          <w:u w:val="none" w:color="auto"/>
          <w:lang w:val="en-US" w:eastAsia="en-US" w:bidi="ar-SA"/>
        </w:rPr>
        <w:t>年度与202</w:t>
      </w:r>
      <w:r>
        <w:rPr>
          <w:rFonts w:hint="eastAsia" w:ascii="方正仿宋_GB2312" w:hAnsi="方正仿宋_GB2312" w:eastAsia="方正仿宋_GB2312" w:cs="方正仿宋_GB2312"/>
          <w:color w:val="auto"/>
          <w:kern w:val="0"/>
          <w:sz w:val="32"/>
          <w:szCs w:val="32"/>
          <w:u w:val="none" w:color="auto"/>
          <w:lang w:val="en-US" w:eastAsia="zh-CN" w:bidi="ar-SA"/>
        </w:rPr>
        <w:t>5</w:t>
      </w:r>
      <w:r>
        <w:rPr>
          <w:rFonts w:hint="eastAsia" w:ascii="方正仿宋_GB2312" w:hAnsi="方正仿宋_GB2312" w:eastAsia="方正仿宋_GB2312" w:cs="方正仿宋_GB2312"/>
          <w:color w:val="auto"/>
          <w:kern w:val="0"/>
          <w:sz w:val="32"/>
          <w:szCs w:val="32"/>
          <w:u w:val="none" w:color="auto"/>
          <w:lang w:val="en-US" w:eastAsia="en-US" w:bidi="ar-SA"/>
        </w:rPr>
        <w:t>年度均无非财政拨款结余（含专用结余）。</w:t>
      </w:r>
    </w:p>
    <w:p w14:paraId="2C92A3D8">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方正仿宋_GB2312" w:hAnsi="方正仿宋_GB2312" w:eastAsia="方正仿宋_GB2312" w:cs="方正仿宋_GB2312"/>
          <w:color w:val="auto"/>
          <w:kern w:val="0"/>
          <w:sz w:val="32"/>
          <w:szCs w:val="32"/>
          <w:u w:val="none" w:color="auto"/>
          <w:lang w:val="en-US" w:eastAsia="en-US" w:bidi="ar-SA"/>
        </w:rPr>
      </w:pPr>
      <w:r>
        <w:rPr>
          <w:rFonts w:hint="eastAsia" w:ascii="方正仿宋_GB2312" w:hAnsi="方正仿宋_GB2312" w:eastAsia="方正仿宋_GB2312" w:cs="方正仿宋_GB2312"/>
          <w:color w:val="auto"/>
          <w:kern w:val="0"/>
          <w:sz w:val="32"/>
          <w:szCs w:val="32"/>
          <w:u w:val="none" w:color="auto"/>
          <w:lang w:val="en-US" w:eastAsia="en-US" w:bidi="ar-SA"/>
        </w:rPr>
        <w:t>3.年初结转和结余 339.14万元。与上年决算相比，减少127.83万元，下降27.37%，变动原因：</w:t>
      </w:r>
      <w:r>
        <w:rPr>
          <w:rFonts w:hint="eastAsia" w:ascii="方正仿宋_GB2312" w:hAnsi="方正仿宋_GB2312" w:eastAsia="方正仿宋_GB2312" w:cs="方正仿宋_GB2312"/>
          <w:color w:val="auto"/>
          <w:kern w:val="0"/>
          <w:sz w:val="32"/>
          <w:szCs w:val="32"/>
          <w:u w:val="none" w:color="auto"/>
          <w:lang w:val="en-US" w:eastAsia="zh-CN" w:bidi="ar-SA"/>
        </w:rPr>
        <w:t>本年度积极推进项目实施</w:t>
      </w:r>
      <w:r>
        <w:rPr>
          <w:rFonts w:hint="eastAsia" w:ascii="方正仿宋_GB2312" w:hAnsi="方正仿宋_GB2312" w:eastAsia="方正仿宋_GB2312" w:cs="方正仿宋_GB2312"/>
          <w:color w:val="auto"/>
          <w:kern w:val="0"/>
          <w:sz w:val="32"/>
          <w:szCs w:val="32"/>
          <w:u w:val="none" w:color="auto"/>
          <w:lang w:val="en-US" w:eastAsia="en-US" w:bidi="ar-SA"/>
        </w:rPr>
        <w:t>。</w:t>
      </w:r>
    </w:p>
    <w:p w14:paraId="7C2F336D">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方正楷体_GB2312" w:hAnsi="方正楷体_GB2312" w:eastAsia="方正楷体_GB2312" w:cs="方正楷体_GB2312"/>
          <w:b w:val="0"/>
          <w:bCs w:val="0"/>
          <w:color w:val="auto"/>
          <w:kern w:val="0"/>
          <w:sz w:val="32"/>
          <w:szCs w:val="32"/>
          <w:u w:val="none" w:color="auto"/>
          <w:lang w:eastAsia="en-US"/>
        </w:rPr>
      </w:pPr>
      <w:r>
        <w:rPr>
          <w:rFonts w:hint="eastAsia" w:ascii="方正楷体_GB2312" w:hAnsi="方正楷体_GB2312" w:eastAsia="方正楷体_GB2312" w:cs="方正楷体_GB2312"/>
          <w:b w:val="0"/>
          <w:bCs w:val="0"/>
          <w:color w:val="auto"/>
          <w:kern w:val="0"/>
          <w:sz w:val="32"/>
          <w:szCs w:val="32"/>
          <w:u w:val="none" w:color="auto"/>
          <w:lang w:eastAsia="en-US"/>
        </w:rPr>
        <w:t>（二）支出决算总计 1762.28万元。包括：</w:t>
      </w:r>
    </w:p>
    <w:p w14:paraId="51A93B09">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方正仿宋_GB2312" w:hAnsi="方正仿宋_GB2312" w:eastAsia="方正仿宋_GB2312" w:cs="方正仿宋_GB2312"/>
          <w:color w:val="auto"/>
          <w:kern w:val="0"/>
          <w:sz w:val="32"/>
          <w:szCs w:val="32"/>
          <w:u w:val="none" w:color="auto"/>
          <w:lang w:val="en-US" w:eastAsia="en-US" w:bidi="ar-SA"/>
        </w:rPr>
      </w:pPr>
      <w:r>
        <w:rPr>
          <w:rFonts w:hint="eastAsia" w:ascii="方正仿宋_GB2312" w:hAnsi="方正仿宋_GB2312" w:eastAsia="方正仿宋_GB2312" w:cs="方正仿宋_GB2312"/>
          <w:color w:val="auto"/>
          <w:kern w:val="0"/>
          <w:sz w:val="32"/>
          <w:szCs w:val="32"/>
          <w:u w:val="none" w:color="auto"/>
          <w:lang w:val="en-US" w:eastAsia="en-US" w:bidi="ar-SA"/>
        </w:rPr>
        <w:t>1.本年支出决算合计 1482.19万元。与上年决算相比，增加101.47万元，增长7.35%，变动原因：</w:t>
      </w:r>
      <w:r>
        <w:rPr>
          <w:rFonts w:hint="eastAsia" w:ascii="方正仿宋_GB2312" w:hAnsi="方正仿宋_GB2312" w:eastAsia="方正仿宋_GB2312" w:cs="方正仿宋_GB2312"/>
          <w:color w:val="auto"/>
          <w:kern w:val="0"/>
          <w:sz w:val="32"/>
          <w:szCs w:val="32"/>
          <w:u w:val="none" w:color="auto"/>
          <w:lang w:val="en-US" w:eastAsia="zh-CN" w:bidi="ar-SA"/>
        </w:rPr>
        <w:t>本年度死亡抚恤增加，卫生健康支出减少</w:t>
      </w:r>
      <w:r>
        <w:rPr>
          <w:rFonts w:hint="eastAsia" w:ascii="方正仿宋_GB2312" w:hAnsi="方正仿宋_GB2312" w:eastAsia="方正仿宋_GB2312" w:cs="方正仿宋_GB2312"/>
          <w:color w:val="auto"/>
          <w:kern w:val="0"/>
          <w:sz w:val="32"/>
          <w:szCs w:val="32"/>
          <w:u w:val="none" w:color="auto"/>
          <w:lang w:val="en-US" w:eastAsia="en-US" w:bidi="ar-SA"/>
        </w:rPr>
        <w:t>。</w:t>
      </w:r>
    </w:p>
    <w:p w14:paraId="23E1D9C0">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方正仿宋_GB2312" w:hAnsi="方正仿宋_GB2312" w:eastAsia="方正仿宋_GB2312" w:cs="方正仿宋_GB2312"/>
          <w:color w:val="auto"/>
          <w:kern w:val="0"/>
          <w:sz w:val="32"/>
          <w:szCs w:val="32"/>
          <w:u w:val="none" w:color="auto"/>
          <w:lang w:val="en-US" w:eastAsia="en-US" w:bidi="ar-SA"/>
        </w:rPr>
      </w:pPr>
      <w:r>
        <w:rPr>
          <w:rFonts w:hint="eastAsia" w:ascii="方正仿宋_GB2312" w:hAnsi="方正仿宋_GB2312" w:eastAsia="方正仿宋_GB2312" w:cs="方正仿宋_GB2312"/>
          <w:color w:val="auto"/>
          <w:kern w:val="0"/>
          <w:sz w:val="32"/>
          <w:szCs w:val="32"/>
          <w:u w:val="none" w:color="auto"/>
          <w:lang w:val="en-US" w:eastAsia="en-US" w:bidi="ar-SA"/>
        </w:rPr>
        <w:t>22.结余分配0万元。结余分配事项：无。与上年决算相比，增加0万元，增长0%，变动原因：202</w:t>
      </w:r>
      <w:r>
        <w:rPr>
          <w:rFonts w:hint="eastAsia" w:ascii="方正仿宋_GB2312" w:hAnsi="方正仿宋_GB2312" w:eastAsia="方正仿宋_GB2312" w:cs="方正仿宋_GB2312"/>
          <w:color w:val="auto"/>
          <w:kern w:val="0"/>
          <w:sz w:val="32"/>
          <w:szCs w:val="32"/>
          <w:u w:val="none" w:color="auto"/>
          <w:lang w:val="en-US" w:eastAsia="zh-CN" w:bidi="ar-SA"/>
        </w:rPr>
        <w:t>4</w:t>
      </w:r>
      <w:r>
        <w:rPr>
          <w:rFonts w:hint="eastAsia" w:ascii="方正仿宋_GB2312" w:hAnsi="方正仿宋_GB2312" w:eastAsia="方正仿宋_GB2312" w:cs="方正仿宋_GB2312"/>
          <w:color w:val="auto"/>
          <w:kern w:val="0"/>
          <w:sz w:val="32"/>
          <w:szCs w:val="32"/>
          <w:u w:val="none" w:color="auto"/>
          <w:lang w:val="en-US" w:eastAsia="en-US" w:bidi="ar-SA"/>
        </w:rPr>
        <w:t>年度与202</w:t>
      </w:r>
      <w:r>
        <w:rPr>
          <w:rFonts w:hint="eastAsia" w:ascii="方正仿宋_GB2312" w:hAnsi="方正仿宋_GB2312" w:eastAsia="方正仿宋_GB2312" w:cs="方正仿宋_GB2312"/>
          <w:color w:val="auto"/>
          <w:kern w:val="0"/>
          <w:sz w:val="32"/>
          <w:szCs w:val="32"/>
          <w:u w:val="none" w:color="auto"/>
          <w:lang w:val="en-US" w:eastAsia="zh-CN" w:bidi="ar-SA"/>
        </w:rPr>
        <w:t>5</w:t>
      </w:r>
      <w:r>
        <w:rPr>
          <w:rFonts w:hint="eastAsia" w:ascii="方正仿宋_GB2312" w:hAnsi="方正仿宋_GB2312" w:eastAsia="方正仿宋_GB2312" w:cs="方正仿宋_GB2312"/>
          <w:color w:val="auto"/>
          <w:kern w:val="0"/>
          <w:sz w:val="32"/>
          <w:szCs w:val="32"/>
          <w:u w:val="none" w:color="auto"/>
          <w:lang w:val="en-US" w:eastAsia="en-US" w:bidi="ar-SA"/>
        </w:rPr>
        <w:t>年度均无结余分配。</w:t>
      </w:r>
    </w:p>
    <w:p w14:paraId="3F2E608E">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方正仿宋_GB2312" w:hAnsi="方正仿宋_GB2312" w:eastAsia="方正仿宋_GB2312" w:cs="方正仿宋_GB2312"/>
          <w:color w:val="auto"/>
          <w:kern w:val="0"/>
          <w:sz w:val="32"/>
          <w:szCs w:val="32"/>
          <w:u w:val="none" w:color="auto"/>
          <w:lang w:val="en-US" w:eastAsia="en-US" w:bidi="ar-SA"/>
        </w:rPr>
      </w:pPr>
      <w:r>
        <w:rPr>
          <w:rFonts w:hint="eastAsia" w:ascii="方正仿宋_GB2312" w:hAnsi="方正仿宋_GB2312" w:eastAsia="方正仿宋_GB2312" w:cs="方正仿宋_GB2312"/>
          <w:color w:val="auto"/>
          <w:kern w:val="0"/>
          <w:sz w:val="32"/>
          <w:szCs w:val="32"/>
          <w:u w:val="none" w:color="auto"/>
          <w:lang w:val="en-US" w:eastAsia="en-US" w:bidi="ar-SA"/>
        </w:rPr>
        <w:t>3.年末结转和结余 280.09万元。结转和结余事项：</w:t>
      </w:r>
      <w:r>
        <w:rPr>
          <w:rFonts w:hint="eastAsia" w:ascii="方正仿宋_GB2312" w:hAnsi="方正仿宋_GB2312" w:eastAsia="方正仿宋_GB2312" w:cs="方正仿宋_GB2312"/>
          <w:color w:val="auto"/>
          <w:kern w:val="0"/>
          <w:sz w:val="32"/>
          <w:szCs w:val="32"/>
          <w:u w:val="none" w:color="auto"/>
          <w:lang w:val="en-US" w:eastAsia="zh-CN" w:bidi="ar-SA"/>
        </w:rPr>
        <w:t>项目上级补助资金结转下年度使用</w:t>
      </w:r>
      <w:r>
        <w:rPr>
          <w:rFonts w:hint="eastAsia" w:ascii="方正仿宋_GB2312" w:hAnsi="方正仿宋_GB2312" w:eastAsia="方正仿宋_GB2312" w:cs="方正仿宋_GB2312"/>
          <w:color w:val="auto"/>
          <w:kern w:val="0"/>
          <w:sz w:val="32"/>
          <w:szCs w:val="32"/>
          <w:u w:val="none" w:color="auto"/>
          <w:lang w:val="en-US" w:eastAsia="en-US" w:bidi="ar-SA"/>
        </w:rPr>
        <w:t>。与上年决算相比，减少204.05万元，下降42.15%，变动原因：</w:t>
      </w:r>
      <w:r>
        <w:rPr>
          <w:rFonts w:hint="eastAsia" w:ascii="方正仿宋_GB2312" w:hAnsi="方正仿宋_GB2312" w:eastAsia="方正仿宋_GB2312" w:cs="方正仿宋_GB2312"/>
          <w:color w:val="auto"/>
          <w:kern w:val="0"/>
          <w:sz w:val="32"/>
          <w:szCs w:val="32"/>
          <w:u w:val="none" w:color="auto"/>
          <w:lang w:val="en-US" w:eastAsia="zh-CN" w:bidi="ar-SA"/>
        </w:rPr>
        <w:t>本年度项目积极推进，支出情况较好</w:t>
      </w:r>
      <w:r>
        <w:rPr>
          <w:rFonts w:hint="eastAsia" w:ascii="方正仿宋_GB2312" w:hAnsi="方正仿宋_GB2312" w:eastAsia="方正仿宋_GB2312" w:cs="方正仿宋_GB2312"/>
          <w:color w:val="auto"/>
          <w:kern w:val="0"/>
          <w:sz w:val="32"/>
          <w:szCs w:val="32"/>
          <w:u w:val="none" w:color="auto"/>
          <w:lang w:val="en-US" w:eastAsia="en-US" w:bidi="ar-SA"/>
        </w:rPr>
        <w:t>。</w:t>
      </w:r>
    </w:p>
    <w:p w14:paraId="24D08C41">
      <w:pPr>
        <w:pStyle w:val="29"/>
        <w:keepNext w:val="0"/>
        <w:keepLines w:val="0"/>
        <w:pageBreakBefore w:val="0"/>
        <w:widowControl/>
        <w:kinsoku/>
        <w:wordWrap/>
        <w:overflowPunct/>
        <w:topLinePunct w:val="0"/>
        <w:autoSpaceDE/>
        <w:autoSpaceDN/>
        <w:bidi w:val="0"/>
        <w:adjustRightInd/>
        <w:snapToGrid/>
        <w:spacing w:line="560" w:lineRule="exact"/>
        <w:ind w:firstLine="643"/>
        <w:jc w:val="left"/>
        <w:textAlignment w:val="auto"/>
        <w:rPr>
          <w:rFonts w:ascii="Times New Roman" w:hAnsi="Times New Roman" w:eastAsia="Times New Roman" w:cs="Times New Roman"/>
          <w:kern w:val="0"/>
          <w:sz w:val="24"/>
          <w:u w:val="none" w:color="auto"/>
        </w:rPr>
      </w:pPr>
      <w:r>
        <w:rPr>
          <w:rFonts w:ascii="黑体" w:hAnsi="黑体" w:eastAsia="黑体" w:cs="黑体"/>
          <w:b/>
          <w:bCs/>
          <w:kern w:val="0"/>
          <w:sz w:val="32"/>
          <w:szCs w:val="32"/>
          <w:u w:val="none" w:color="auto"/>
        </w:rPr>
        <w:t>二、收入决算情况说明</w:t>
      </w:r>
    </w:p>
    <w:p w14:paraId="6143D723">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方正仿宋_GB2312" w:hAnsi="方正仿宋_GB2312" w:eastAsia="方正仿宋_GB2312" w:cs="方正仿宋_GB2312"/>
          <w:color w:val="auto"/>
          <w:kern w:val="0"/>
          <w:sz w:val="32"/>
          <w:szCs w:val="32"/>
          <w:u w:val="none" w:color="auto"/>
          <w:lang w:val="en-US" w:eastAsia="zh-CN" w:bidi="ar-SA"/>
        </w:rPr>
      </w:pPr>
      <w:r>
        <w:rPr>
          <w:rFonts w:hint="eastAsia" w:ascii="方正仿宋_GB2312" w:hAnsi="方正仿宋_GB2312" w:eastAsia="方正仿宋_GB2312" w:cs="方正仿宋_GB2312"/>
          <w:color w:val="auto"/>
          <w:kern w:val="0"/>
          <w:sz w:val="32"/>
          <w:szCs w:val="32"/>
          <w:u w:val="none" w:color="auto"/>
          <w:lang w:val="en-US" w:eastAsia="zh-CN" w:bidi="ar-SA"/>
        </w:rPr>
        <w:t xml:space="preserve">内蒙古自治区巴彦淖尔市卫生健康委员会（本级） </w:t>
      </w:r>
      <w:r>
        <w:rPr>
          <w:rFonts w:hint="eastAsia" w:ascii="方正仿宋_GB2312" w:hAnsi="方正仿宋_GB2312" w:eastAsia="方正仿宋_GB2312" w:cs="方正仿宋_GB2312"/>
          <w:color w:val="auto"/>
          <w:kern w:val="0"/>
          <w:sz w:val="32"/>
          <w:szCs w:val="32"/>
          <w:u w:val="none" w:color="auto"/>
          <w:lang w:val="en-US" w:eastAsia="en-US" w:bidi="ar-SA"/>
        </w:rPr>
        <w:t>2025</w:t>
      </w:r>
      <w:r>
        <w:rPr>
          <w:rFonts w:hint="eastAsia" w:ascii="方正仿宋_GB2312" w:hAnsi="方正仿宋_GB2312" w:eastAsia="方正仿宋_GB2312" w:cs="方正仿宋_GB2312"/>
          <w:color w:val="auto"/>
          <w:kern w:val="0"/>
          <w:sz w:val="32"/>
          <w:szCs w:val="32"/>
          <w:u w:val="none" w:color="auto"/>
          <w:lang w:val="en-US" w:eastAsia="zh-CN" w:bidi="ar-SA"/>
        </w:rPr>
        <w:t>年度本年收入决算合计</w:t>
      </w:r>
      <w:r>
        <w:rPr>
          <w:rFonts w:hint="eastAsia" w:ascii="方正仿宋_GB2312" w:hAnsi="方正仿宋_GB2312" w:eastAsia="方正仿宋_GB2312" w:cs="方正仿宋_GB2312"/>
          <w:color w:val="auto"/>
          <w:kern w:val="0"/>
          <w:sz w:val="32"/>
          <w:szCs w:val="32"/>
          <w:u w:val="none" w:color="auto"/>
          <w:lang w:val="en-US" w:eastAsia="en-US" w:bidi="ar-SA"/>
        </w:rPr>
        <w:t xml:space="preserve"> 1423.13</w:t>
      </w:r>
      <w:r>
        <w:rPr>
          <w:rFonts w:hint="eastAsia" w:ascii="方正仿宋_GB2312" w:hAnsi="方正仿宋_GB2312" w:eastAsia="方正仿宋_GB2312" w:cs="方正仿宋_GB2312"/>
          <w:color w:val="auto"/>
          <w:kern w:val="0"/>
          <w:sz w:val="32"/>
          <w:szCs w:val="32"/>
          <w:u w:val="none" w:color="auto"/>
          <w:lang w:val="en-US" w:eastAsia="zh-CN" w:bidi="ar-SA"/>
        </w:rPr>
        <w:t>万元，其中：</w:t>
      </w:r>
    </w:p>
    <w:p w14:paraId="464B1994">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方正仿宋_GB2312" w:hAnsi="方正仿宋_GB2312" w:eastAsia="方正仿宋_GB2312" w:cs="方正仿宋_GB2312"/>
          <w:color w:val="auto"/>
          <w:kern w:val="0"/>
          <w:sz w:val="32"/>
          <w:szCs w:val="32"/>
          <w:u w:val="none" w:color="auto"/>
          <w:lang w:val="en-US" w:eastAsia="zh-CN" w:bidi="ar-SA"/>
        </w:rPr>
      </w:pPr>
      <w:r>
        <w:rPr>
          <w:rFonts w:hint="eastAsia" w:ascii="方正仿宋_GB2312" w:hAnsi="方正仿宋_GB2312" w:eastAsia="方正仿宋_GB2312" w:cs="方正仿宋_GB2312"/>
          <w:color w:val="auto"/>
          <w:kern w:val="0"/>
          <w:sz w:val="32"/>
          <w:szCs w:val="32"/>
          <w:u w:val="none" w:color="auto"/>
          <w:lang w:val="en-US" w:eastAsia="zh-CN" w:bidi="ar-SA"/>
        </w:rPr>
        <w:t>一般公共预算财政拨款收入</w:t>
      </w:r>
      <w:r>
        <w:rPr>
          <w:rFonts w:hint="eastAsia" w:ascii="方正仿宋_GB2312" w:hAnsi="方正仿宋_GB2312" w:eastAsia="方正仿宋_GB2312" w:cs="方正仿宋_GB2312"/>
          <w:color w:val="auto"/>
          <w:kern w:val="0"/>
          <w:sz w:val="32"/>
          <w:szCs w:val="32"/>
          <w:u w:val="none" w:color="auto"/>
          <w:lang w:val="en-US" w:eastAsia="en-US" w:bidi="ar-SA"/>
        </w:rPr>
        <w:t xml:space="preserve"> 1408.67</w:t>
      </w:r>
      <w:r>
        <w:rPr>
          <w:rFonts w:hint="eastAsia" w:ascii="方正仿宋_GB2312" w:hAnsi="方正仿宋_GB2312" w:eastAsia="方正仿宋_GB2312" w:cs="方正仿宋_GB2312"/>
          <w:color w:val="auto"/>
          <w:kern w:val="0"/>
          <w:sz w:val="32"/>
          <w:szCs w:val="32"/>
          <w:u w:val="none" w:color="auto"/>
          <w:lang w:val="en-US" w:eastAsia="zh-CN" w:bidi="ar-SA"/>
        </w:rPr>
        <w:t>万元，占</w:t>
      </w:r>
      <w:r>
        <w:rPr>
          <w:rFonts w:hint="eastAsia" w:ascii="方正仿宋_GB2312" w:hAnsi="方正仿宋_GB2312" w:eastAsia="方正仿宋_GB2312" w:cs="方正仿宋_GB2312"/>
          <w:color w:val="auto"/>
          <w:kern w:val="0"/>
          <w:sz w:val="32"/>
          <w:szCs w:val="32"/>
          <w:u w:val="none" w:color="auto"/>
          <w:lang w:val="en-US" w:eastAsia="en-US" w:bidi="ar-SA"/>
        </w:rPr>
        <w:t xml:space="preserve"> 98.98%</w:t>
      </w:r>
      <w:r>
        <w:rPr>
          <w:rFonts w:hint="eastAsia" w:ascii="方正仿宋_GB2312" w:hAnsi="方正仿宋_GB2312" w:eastAsia="方正仿宋_GB2312" w:cs="方正仿宋_GB2312"/>
          <w:color w:val="auto"/>
          <w:kern w:val="0"/>
          <w:sz w:val="32"/>
          <w:szCs w:val="32"/>
          <w:u w:val="none" w:color="auto"/>
          <w:lang w:val="en-US" w:eastAsia="zh-CN" w:bidi="ar-SA"/>
        </w:rPr>
        <w:t>；</w:t>
      </w:r>
    </w:p>
    <w:p w14:paraId="22BD3C3F">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方正仿宋_GB2312" w:hAnsi="方正仿宋_GB2312" w:eastAsia="方正仿宋_GB2312" w:cs="方正仿宋_GB2312"/>
          <w:color w:val="auto"/>
          <w:kern w:val="0"/>
          <w:sz w:val="32"/>
          <w:szCs w:val="32"/>
          <w:u w:val="none" w:color="auto"/>
          <w:lang w:val="en-US" w:eastAsia="zh-CN" w:bidi="ar-SA"/>
        </w:rPr>
      </w:pPr>
      <w:r>
        <w:rPr>
          <w:rFonts w:hint="eastAsia" w:ascii="方正仿宋_GB2312" w:hAnsi="方正仿宋_GB2312" w:eastAsia="方正仿宋_GB2312" w:cs="方正仿宋_GB2312"/>
          <w:color w:val="auto"/>
          <w:kern w:val="0"/>
          <w:sz w:val="32"/>
          <w:szCs w:val="32"/>
          <w:u w:val="none" w:color="auto"/>
          <w:lang w:val="en-US" w:eastAsia="zh-CN" w:bidi="ar-SA"/>
        </w:rPr>
        <w:t>政府性基金预算财政拨款收入</w:t>
      </w:r>
      <w:r>
        <w:rPr>
          <w:rFonts w:hint="eastAsia" w:ascii="方正仿宋_GB2312" w:hAnsi="方正仿宋_GB2312" w:eastAsia="方正仿宋_GB2312" w:cs="方正仿宋_GB2312"/>
          <w:color w:val="auto"/>
          <w:kern w:val="0"/>
          <w:sz w:val="32"/>
          <w:szCs w:val="32"/>
          <w:u w:val="none" w:color="auto"/>
          <w:lang w:val="en-US" w:eastAsia="en-US" w:bidi="ar-SA"/>
        </w:rPr>
        <w:t xml:space="preserve"> 0</w:t>
      </w:r>
      <w:r>
        <w:rPr>
          <w:rFonts w:hint="eastAsia" w:ascii="方正仿宋_GB2312" w:hAnsi="方正仿宋_GB2312" w:eastAsia="方正仿宋_GB2312" w:cs="方正仿宋_GB2312"/>
          <w:color w:val="auto"/>
          <w:kern w:val="0"/>
          <w:sz w:val="32"/>
          <w:szCs w:val="32"/>
          <w:u w:val="none" w:color="auto"/>
          <w:lang w:val="en-US" w:eastAsia="zh-CN" w:bidi="ar-SA"/>
        </w:rPr>
        <w:t>万元，占</w:t>
      </w:r>
      <w:r>
        <w:rPr>
          <w:rFonts w:hint="eastAsia" w:ascii="方正仿宋_GB2312" w:hAnsi="方正仿宋_GB2312" w:eastAsia="方正仿宋_GB2312" w:cs="方正仿宋_GB2312"/>
          <w:color w:val="auto"/>
          <w:kern w:val="0"/>
          <w:sz w:val="32"/>
          <w:szCs w:val="32"/>
          <w:u w:val="none" w:color="auto"/>
          <w:lang w:val="en-US" w:eastAsia="en-US" w:bidi="ar-SA"/>
        </w:rPr>
        <w:t xml:space="preserve"> 0%</w:t>
      </w:r>
      <w:r>
        <w:rPr>
          <w:rFonts w:hint="eastAsia" w:ascii="方正仿宋_GB2312" w:hAnsi="方正仿宋_GB2312" w:eastAsia="方正仿宋_GB2312" w:cs="方正仿宋_GB2312"/>
          <w:color w:val="auto"/>
          <w:kern w:val="0"/>
          <w:sz w:val="32"/>
          <w:szCs w:val="32"/>
          <w:u w:val="none" w:color="auto"/>
          <w:lang w:val="en-US" w:eastAsia="zh-CN" w:bidi="ar-SA"/>
        </w:rPr>
        <w:t>；</w:t>
      </w:r>
    </w:p>
    <w:p w14:paraId="303C3471">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方正仿宋_GB2312" w:hAnsi="方正仿宋_GB2312" w:eastAsia="方正仿宋_GB2312" w:cs="方正仿宋_GB2312"/>
          <w:color w:val="auto"/>
          <w:kern w:val="0"/>
          <w:sz w:val="32"/>
          <w:szCs w:val="32"/>
          <w:u w:val="none" w:color="auto"/>
          <w:lang w:val="en-US" w:eastAsia="zh-CN" w:bidi="ar-SA"/>
        </w:rPr>
      </w:pPr>
      <w:r>
        <w:rPr>
          <w:rFonts w:hint="eastAsia" w:ascii="方正仿宋_GB2312" w:hAnsi="方正仿宋_GB2312" w:eastAsia="方正仿宋_GB2312" w:cs="方正仿宋_GB2312"/>
          <w:color w:val="auto"/>
          <w:kern w:val="0"/>
          <w:sz w:val="32"/>
          <w:szCs w:val="32"/>
          <w:u w:val="none" w:color="auto"/>
          <w:lang w:val="en-US" w:eastAsia="zh-CN" w:bidi="ar-SA"/>
        </w:rPr>
        <w:t>国有资本经营预算财政拨款收入</w:t>
      </w:r>
      <w:r>
        <w:rPr>
          <w:rFonts w:hint="eastAsia" w:ascii="方正仿宋_GB2312" w:hAnsi="方正仿宋_GB2312" w:eastAsia="方正仿宋_GB2312" w:cs="方正仿宋_GB2312"/>
          <w:color w:val="auto"/>
          <w:kern w:val="0"/>
          <w:sz w:val="32"/>
          <w:szCs w:val="32"/>
          <w:u w:val="none" w:color="auto"/>
          <w:lang w:val="en-US" w:eastAsia="en-US" w:bidi="ar-SA"/>
        </w:rPr>
        <w:t xml:space="preserve"> 0</w:t>
      </w:r>
      <w:r>
        <w:rPr>
          <w:rFonts w:hint="eastAsia" w:ascii="方正仿宋_GB2312" w:hAnsi="方正仿宋_GB2312" w:eastAsia="方正仿宋_GB2312" w:cs="方正仿宋_GB2312"/>
          <w:color w:val="auto"/>
          <w:kern w:val="0"/>
          <w:sz w:val="32"/>
          <w:szCs w:val="32"/>
          <w:u w:val="none" w:color="auto"/>
          <w:lang w:val="en-US" w:eastAsia="zh-CN" w:bidi="ar-SA"/>
        </w:rPr>
        <w:t>万元，占</w:t>
      </w:r>
      <w:r>
        <w:rPr>
          <w:rFonts w:hint="eastAsia" w:ascii="方正仿宋_GB2312" w:hAnsi="方正仿宋_GB2312" w:eastAsia="方正仿宋_GB2312" w:cs="方正仿宋_GB2312"/>
          <w:color w:val="auto"/>
          <w:kern w:val="0"/>
          <w:sz w:val="32"/>
          <w:szCs w:val="32"/>
          <w:u w:val="none" w:color="auto"/>
          <w:lang w:val="en-US" w:eastAsia="en-US" w:bidi="ar-SA"/>
        </w:rPr>
        <w:t xml:space="preserve"> 0%</w:t>
      </w:r>
      <w:r>
        <w:rPr>
          <w:rFonts w:hint="eastAsia" w:ascii="方正仿宋_GB2312" w:hAnsi="方正仿宋_GB2312" w:eastAsia="方正仿宋_GB2312" w:cs="方正仿宋_GB2312"/>
          <w:color w:val="auto"/>
          <w:kern w:val="0"/>
          <w:sz w:val="32"/>
          <w:szCs w:val="32"/>
          <w:u w:val="none" w:color="auto"/>
          <w:lang w:val="en-US" w:eastAsia="zh-CN" w:bidi="ar-SA"/>
        </w:rPr>
        <w:t>；</w:t>
      </w:r>
    </w:p>
    <w:p w14:paraId="251F28A4">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方正仿宋_GB2312" w:hAnsi="方正仿宋_GB2312" w:eastAsia="方正仿宋_GB2312" w:cs="方正仿宋_GB2312"/>
          <w:color w:val="auto"/>
          <w:kern w:val="0"/>
          <w:sz w:val="32"/>
          <w:szCs w:val="32"/>
          <w:u w:val="none" w:color="auto"/>
          <w:lang w:val="en-US" w:eastAsia="zh-CN" w:bidi="ar-SA"/>
        </w:rPr>
      </w:pPr>
      <w:r>
        <w:rPr>
          <w:rFonts w:hint="eastAsia" w:ascii="方正仿宋_GB2312" w:hAnsi="方正仿宋_GB2312" w:eastAsia="方正仿宋_GB2312" w:cs="方正仿宋_GB2312"/>
          <w:color w:val="auto"/>
          <w:kern w:val="0"/>
          <w:sz w:val="32"/>
          <w:szCs w:val="32"/>
          <w:u w:val="none" w:color="auto"/>
          <w:lang w:val="en-US" w:eastAsia="zh-CN" w:bidi="ar-SA"/>
        </w:rPr>
        <w:t>上级补助收入</w:t>
      </w:r>
      <w:r>
        <w:rPr>
          <w:rFonts w:hint="eastAsia" w:ascii="方正仿宋_GB2312" w:hAnsi="方正仿宋_GB2312" w:eastAsia="方正仿宋_GB2312" w:cs="方正仿宋_GB2312"/>
          <w:color w:val="auto"/>
          <w:kern w:val="0"/>
          <w:sz w:val="32"/>
          <w:szCs w:val="32"/>
          <w:u w:val="none" w:color="auto"/>
          <w:lang w:val="en-US" w:eastAsia="en-US" w:bidi="ar-SA"/>
        </w:rPr>
        <w:t xml:space="preserve"> 0</w:t>
      </w:r>
      <w:r>
        <w:rPr>
          <w:rFonts w:hint="eastAsia" w:ascii="方正仿宋_GB2312" w:hAnsi="方正仿宋_GB2312" w:eastAsia="方正仿宋_GB2312" w:cs="方正仿宋_GB2312"/>
          <w:color w:val="auto"/>
          <w:kern w:val="0"/>
          <w:sz w:val="32"/>
          <w:szCs w:val="32"/>
          <w:u w:val="none" w:color="auto"/>
          <w:lang w:val="en-US" w:eastAsia="zh-CN" w:bidi="ar-SA"/>
        </w:rPr>
        <w:t>万元，占</w:t>
      </w:r>
      <w:r>
        <w:rPr>
          <w:rFonts w:hint="eastAsia" w:ascii="方正仿宋_GB2312" w:hAnsi="方正仿宋_GB2312" w:eastAsia="方正仿宋_GB2312" w:cs="方正仿宋_GB2312"/>
          <w:color w:val="auto"/>
          <w:kern w:val="0"/>
          <w:sz w:val="32"/>
          <w:szCs w:val="32"/>
          <w:u w:val="none" w:color="auto"/>
          <w:lang w:val="en-US" w:eastAsia="en-US" w:bidi="ar-SA"/>
        </w:rPr>
        <w:t xml:space="preserve"> 0%</w:t>
      </w:r>
      <w:r>
        <w:rPr>
          <w:rFonts w:hint="eastAsia" w:ascii="方正仿宋_GB2312" w:hAnsi="方正仿宋_GB2312" w:eastAsia="方正仿宋_GB2312" w:cs="方正仿宋_GB2312"/>
          <w:color w:val="auto"/>
          <w:kern w:val="0"/>
          <w:sz w:val="32"/>
          <w:szCs w:val="32"/>
          <w:u w:val="none" w:color="auto"/>
          <w:lang w:val="en-US" w:eastAsia="zh-CN" w:bidi="ar-SA"/>
        </w:rPr>
        <w:t>；</w:t>
      </w:r>
    </w:p>
    <w:p w14:paraId="39ABDBB2">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方正仿宋_GB2312" w:hAnsi="方正仿宋_GB2312" w:eastAsia="方正仿宋_GB2312" w:cs="方正仿宋_GB2312"/>
          <w:color w:val="auto"/>
          <w:kern w:val="0"/>
          <w:sz w:val="32"/>
          <w:szCs w:val="32"/>
          <w:u w:val="none" w:color="auto"/>
          <w:lang w:val="en-US" w:eastAsia="zh-CN" w:bidi="ar-SA"/>
        </w:rPr>
      </w:pPr>
      <w:r>
        <w:rPr>
          <w:rFonts w:hint="eastAsia" w:ascii="方正仿宋_GB2312" w:hAnsi="方正仿宋_GB2312" w:eastAsia="方正仿宋_GB2312" w:cs="方正仿宋_GB2312"/>
          <w:color w:val="auto"/>
          <w:kern w:val="0"/>
          <w:sz w:val="32"/>
          <w:szCs w:val="32"/>
          <w:u w:val="none" w:color="auto"/>
          <w:lang w:val="en-US" w:eastAsia="zh-CN" w:bidi="ar-SA"/>
        </w:rPr>
        <w:t>事业收入</w:t>
      </w:r>
      <w:r>
        <w:rPr>
          <w:rFonts w:hint="eastAsia" w:ascii="方正仿宋_GB2312" w:hAnsi="方正仿宋_GB2312" w:eastAsia="方正仿宋_GB2312" w:cs="方正仿宋_GB2312"/>
          <w:color w:val="auto"/>
          <w:kern w:val="0"/>
          <w:sz w:val="32"/>
          <w:szCs w:val="32"/>
          <w:u w:val="none" w:color="auto"/>
          <w:lang w:val="en-US" w:eastAsia="en-US" w:bidi="ar-SA"/>
        </w:rPr>
        <w:t xml:space="preserve"> 0</w:t>
      </w:r>
      <w:r>
        <w:rPr>
          <w:rFonts w:hint="eastAsia" w:ascii="方正仿宋_GB2312" w:hAnsi="方正仿宋_GB2312" w:eastAsia="方正仿宋_GB2312" w:cs="方正仿宋_GB2312"/>
          <w:color w:val="auto"/>
          <w:kern w:val="0"/>
          <w:sz w:val="32"/>
          <w:szCs w:val="32"/>
          <w:u w:val="none" w:color="auto"/>
          <w:lang w:val="en-US" w:eastAsia="zh-CN" w:bidi="ar-SA"/>
        </w:rPr>
        <w:t>万元，占</w:t>
      </w:r>
      <w:r>
        <w:rPr>
          <w:rFonts w:hint="eastAsia" w:ascii="方正仿宋_GB2312" w:hAnsi="方正仿宋_GB2312" w:eastAsia="方正仿宋_GB2312" w:cs="方正仿宋_GB2312"/>
          <w:color w:val="auto"/>
          <w:kern w:val="0"/>
          <w:sz w:val="32"/>
          <w:szCs w:val="32"/>
          <w:u w:val="none" w:color="auto"/>
          <w:lang w:val="en-US" w:eastAsia="en-US" w:bidi="ar-SA"/>
        </w:rPr>
        <w:t xml:space="preserve"> 0%</w:t>
      </w:r>
      <w:r>
        <w:rPr>
          <w:rFonts w:hint="eastAsia" w:ascii="方正仿宋_GB2312" w:hAnsi="方正仿宋_GB2312" w:eastAsia="方正仿宋_GB2312" w:cs="方正仿宋_GB2312"/>
          <w:color w:val="auto"/>
          <w:kern w:val="0"/>
          <w:sz w:val="32"/>
          <w:szCs w:val="32"/>
          <w:u w:val="none" w:color="auto"/>
          <w:lang w:val="en-US" w:eastAsia="zh-CN" w:bidi="ar-SA"/>
        </w:rPr>
        <w:t>；</w:t>
      </w:r>
    </w:p>
    <w:p w14:paraId="1C6EC8E0">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方正仿宋_GB2312" w:hAnsi="方正仿宋_GB2312" w:eastAsia="方正仿宋_GB2312" w:cs="方正仿宋_GB2312"/>
          <w:color w:val="auto"/>
          <w:kern w:val="0"/>
          <w:sz w:val="32"/>
          <w:szCs w:val="32"/>
          <w:u w:val="none" w:color="auto"/>
          <w:lang w:val="en-US" w:eastAsia="zh-CN" w:bidi="ar-SA"/>
        </w:rPr>
      </w:pPr>
      <w:r>
        <w:rPr>
          <w:rFonts w:hint="eastAsia" w:ascii="方正仿宋_GB2312" w:hAnsi="方正仿宋_GB2312" w:eastAsia="方正仿宋_GB2312" w:cs="方正仿宋_GB2312"/>
          <w:color w:val="auto"/>
          <w:kern w:val="0"/>
          <w:sz w:val="32"/>
          <w:szCs w:val="32"/>
          <w:u w:val="none" w:color="auto"/>
          <w:lang w:val="en-US" w:eastAsia="zh-CN" w:bidi="ar-SA"/>
        </w:rPr>
        <w:t>经营收入</w:t>
      </w:r>
      <w:r>
        <w:rPr>
          <w:rFonts w:hint="eastAsia" w:ascii="方正仿宋_GB2312" w:hAnsi="方正仿宋_GB2312" w:eastAsia="方正仿宋_GB2312" w:cs="方正仿宋_GB2312"/>
          <w:color w:val="auto"/>
          <w:kern w:val="0"/>
          <w:sz w:val="32"/>
          <w:szCs w:val="32"/>
          <w:u w:val="none" w:color="auto"/>
          <w:lang w:val="en-US" w:eastAsia="en-US" w:bidi="ar-SA"/>
        </w:rPr>
        <w:t xml:space="preserve"> 0</w:t>
      </w:r>
      <w:r>
        <w:rPr>
          <w:rFonts w:hint="eastAsia" w:ascii="方正仿宋_GB2312" w:hAnsi="方正仿宋_GB2312" w:eastAsia="方正仿宋_GB2312" w:cs="方正仿宋_GB2312"/>
          <w:color w:val="auto"/>
          <w:kern w:val="0"/>
          <w:sz w:val="32"/>
          <w:szCs w:val="32"/>
          <w:u w:val="none" w:color="auto"/>
          <w:lang w:val="en-US" w:eastAsia="zh-CN" w:bidi="ar-SA"/>
        </w:rPr>
        <w:t>万元，占</w:t>
      </w:r>
      <w:r>
        <w:rPr>
          <w:rFonts w:hint="eastAsia" w:ascii="方正仿宋_GB2312" w:hAnsi="方正仿宋_GB2312" w:eastAsia="方正仿宋_GB2312" w:cs="方正仿宋_GB2312"/>
          <w:color w:val="auto"/>
          <w:kern w:val="0"/>
          <w:sz w:val="32"/>
          <w:szCs w:val="32"/>
          <w:u w:val="none" w:color="auto"/>
          <w:lang w:val="en-US" w:eastAsia="en-US" w:bidi="ar-SA"/>
        </w:rPr>
        <w:t xml:space="preserve"> 0%</w:t>
      </w:r>
      <w:r>
        <w:rPr>
          <w:rFonts w:hint="eastAsia" w:ascii="方正仿宋_GB2312" w:hAnsi="方正仿宋_GB2312" w:eastAsia="方正仿宋_GB2312" w:cs="方正仿宋_GB2312"/>
          <w:color w:val="auto"/>
          <w:kern w:val="0"/>
          <w:sz w:val="32"/>
          <w:szCs w:val="32"/>
          <w:u w:val="none" w:color="auto"/>
          <w:lang w:val="en-US" w:eastAsia="zh-CN" w:bidi="ar-SA"/>
        </w:rPr>
        <w:t>；</w:t>
      </w:r>
    </w:p>
    <w:p w14:paraId="6500CE13">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方正仿宋_GB2312" w:hAnsi="方正仿宋_GB2312" w:eastAsia="方正仿宋_GB2312" w:cs="方正仿宋_GB2312"/>
          <w:color w:val="auto"/>
          <w:kern w:val="0"/>
          <w:sz w:val="32"/>
          <w:szCs w:val="32"/>
          <w:u w:val="none" w:color="auto"/>
          <w:lang w:val="en-US" w:eastAsia="zh-CN" w:bidi="ar-SA"/>
        </w:rPr>
      </w:pPr>
      <w:r>
        <w:rPr>
          <w:rFonts w:hint="eastAsia" w:ascii="方正仿宋_GB2312" w:hAnsi="方正仿宋_GB2312" w:eastAsia="方正仿宋_GB2312" w:cs="方正仿宋_GB2312"/>
          <w:color w:val="auto"/>
          <w:kern w:val="0"/>
          <w:sz w:val="32"/>
          <w:szCs w:val="32"/>
          <w:u w:val="none" w:color="auto"/>
          <w:lang w:val="en-US" w:eastAsia="zh-CN" w:bidi="ar-SA"/>
        </w:rPr>
        <w:t>附属单位上缴收入</w:t>
      </w:r>
      <w:r>
        <w:rPr>
          <w:rFonts w:hint="eastAsia" w:ascii="方正仿宋_GB2312" w:hAnsi="方正仿宋_GB2312" w:eastAsia="方正仿宋_GB2312" w:cs="方正仿宋_GB2312"/>
          <w:color w:val="auto"/>
          <w:kern w:val="0"/>
          <w:sz w:val="32"/>
          <w:szCs w:val="32"/>
          <w:u w:val="none" w:color="auto"/>
          <w:lang w:val="en-US" w:eastAsia="en-US" w:bidi="ar-SA"/>
        </w:rPr>
        <w:t xml:space="preserve"> 0</w:t>
      </w:r>
      <w:r>
        <w:rPr>
          <w:rFonts w:hint="eastAsia" w:ascii="方正仿宋_GB2312" w:hAnsi="方正仿宋_GB2312" w:eastAsia="方正仿宋_GB2312" w:cs="方正仿宋_GB2312"/>
          <w:color w:val="auto"/>
          <w:kern w:val="0"/>
          <w:sz w:val="32"/>
          <w:szCs w:val="32"/>
          <w:u w:val="none" w:color="auto"/>
          <w:lang w:val="en-US" w:eastAsia="zh-CN" w:bidi="ar-SA"/>
        </w:rPr>
        <w:t>万元，占</w:t>
      </w:r>
      <w:r>
        <w:rPr>
          <w:rFonts w:hint="eastAsia" w:ascii="方正仿宋_GB2312" w:hAnsi="方正仿宋_GB2312" w:eastAsia="方正仿宋_GB2312" w:cs="方正仿宋_GB2312"/>
          <w:color w:val="auto"/>
          <w:kern w:val="0"/>
          <w:sz w:val="32"/>
          <w:szCs w:val="32"/>
          <w:u w:val="none" w:color="auto"/>
          <w:lang w:val="en-US" w:eastAsia="en-US" w:bidi="ar-SA"/>
        </w:rPr>
        <w:t xml:space="preserve"> 0%</w:t>
      </w:r>
      <w:r>
        <w:rPr>
          <w:rFonts w:hint="eastAsia" w:ascii="方正仿宋_GB2312" w:hAnsi="方正仿宋_GB2312" w:eastAsia="方正仿宋_GB2312" w:cs="方正仿宋_GB2312"/>
          <w:color w:val="auto"/>
          <w:kern w:val="0"/>
          <w:sz w:val="32"/>
          <w:szCs w:val="32"/>
          <w:u w:val="none" w:color="auto"/>
          <w:lang w:val="en-US" w:eastAsia="zh-CN" w:bidi="ar-SA"/>
        </w:rPr>
        <w:t>；</w:t>
      </w:r>
    </w:p>
    <w:p w14:paraId="2506DA51">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方正仿宋_GB2312" w:hAnsi="方正仿宋_GB2312" w:eastAsia="方正仿宋_GB2312" w:cs="方正仿宋_GB2312"/>
          <w:color w:val="auto"/>
          <w:kern w:val="0"/>
          <w:sz w:val="32"/>
          <w:szCs w:val="32"/>
          <w:u w:val="none" w:color="auto"/>
          <w:lang w:val="en-US" w:eastAsia="zh-CN" w:bidi="ar-SA"/>
        </w:rPr>
      </w:pPr>
      <w:r>
        <w:rPr>
          <w:rFonts w:hint="eastAsia" w:ascii="方正仿宋_GB2312" w:hAnsi="方正仿宋_GB2312" w:eastAsia="方正仿宋_GB2312" w:cs="方正仿宋_GB2312"/>
          <w:color w:val="auto"/>
          <w:kern w:val="0"/>
          <w:sz w:val="32"/>
          <w:szCs w:val="32"/>
          <w:u w:val="none" w:color="auto"/>
          <w:lang w:val="en-US" w:eastAsia="zh-CN" w:bidi="ar-SA"/>
        </w:rPr>
        <w:t>其他收入</w:t>
      </w:r>
      <w:r>
        <w:rPr>
          <w:rFonts w:hint="eastAsia" w:ascii="方正仿宋_GB2312" w:hAnsi="方正仿宋_GB2312" w:eastAsia="方正仿宋_GB2312" w:cs="方正仿宋_GB2312"/>
          <w:color w:val="auto"/>
          <w:kern w:val="0"/>
          <w:sz w:val="32"/>
          <w:szCs w:val="32"/>
          <w:u w:val="none" w:color="auto"/>
          <w:lang w:val="en-US" w:eastAsia="en-US" w:bidi="ar-SA"/>
        </w:rPr>
        <w:t xml:space="preserve"> 14.47</w:t>
      </w:r>
      <w:r>
        <w:rPr>
          <w:rFonts w:hint="eastAsia" w:ascii="方正仿宋_GB2312" w:hAnsi="方正仿宋_GB2312" w:eastAsia="方正仿宋_GB2312" w:cs="方正仿宋_GB2312"/>
          <w:color w:val="auto"/>
          <w:kern w:val="0"/>
          <w:sz w:val="32"/>
          <w:szCs w:val="32"/>
          <w:u w:val="none" w:color="auto"/>
          <w:lang w:val="en-US" w:eastAsia="zh-CN" w:bidi="ar-SA"/>
        </w:rPr>
        <w:t>万元，占</w:t>
      </w:r>
      <w:r>
        <w:rPr>
          <w:rFonts w:hint="eastAsia" w:ascii="方正仿宋_GB2312" w:hAnsi="方正仿宋_GB2312" w:eastAsia="方正仿宋_GB2312" w:cs="方正仿宋_GB2312"/>
          <w:color w:val="auto"/>
          <w:kern w:val="0"/>
          <w:sz w:val="32"/>
          <w:szCs w:val="32"/>
          <w:u w:val="none" w:color="auto"/>
          <w:lang w:val="en-US" w:eastAsia="en-US" w:bidi="ar-SA"/>
        </w:rPr>
        <w:t xml:space="preserve"> 1.02%</w:t>
      </w:r>
      <w:r>
        <w:rPr>
          <w:rFonts w:hint="eastAsia" w:ascii="方正仿宋_GB2312" w:hAnsi="方正仿宋_GB2312" w:eastAsia="方正仿宋_GB2312" w:cs="方正仿宋_GB2312"/>
          <w:color w:val="auto"/>
          <w:kern w:val="0"/>
          <w:sz w:val="32"/>
          <w:szCs w:val="32"/>
          <w:u w:val="none" w:color="auto"/>
          <w:lang w:val="en-US" w:eastAsia="zh-CN" w:bidi="ar-SA"/>
        </w:rPr>
        <w:t>。</w:t>
      </w:r>
    </w:p>
    <w:p w14:paraId="1772600A">
      <w:pPr>
        <w:widowControl/>
        <w:spacing w:before="240" w:after="240"/>
        <w:jc w:val="center"/>
        <w:rPr>
          <w:rFonts w:ascii="Times New Roman" w:hAnsi="Times New Roman" w:eastAsia="Times New Roman" w:cs="Times New Roman"/>
          <w:kern w:val="0"/>
          <w:sz w:val="24"/>
          <w:u w:val="none" w:color="auto"/>
        </w:rPr>
      </w:pPr>
      <w:r>
        <w:rPr>
          <w:rFonts w:ascii="Times New Roman" w:hAnsi="Times New Roman" w:eastAsia="Times New Roman" w:cs="Times New Roman"/>
          <w:strike w:val="0"/>
          <w:kern w:val="0"/>
          <w:sz w:val="24"/>
          <w:u w:val="none" w:color="auto"/>
        </w:rPr>
        <w:pict>
          <v:shape id="_x0000_i1025" o:spt="75" type="#_x0000_t75" style="height:271.55pt;width:442.5pt;" filled="f" o:preferrelative="t" stroked="f" coordsize="21600,21600">
            <v:path/>
            <v:fill on="f" focussize="0,0"/>
            <v:stroke on="f"/>
            <v:imagedata r:id="rId6" o:title=""/>
            <o:lock v:ext="edit" aspectratio="t"/>
            <w10:wrap type="none"/>
            <w10:anchorlock/>
          </v:shape>
        </w:pict>
      </w:r>
      <w:r>
        <w:rPr>
          <w:rFonts w:ascii="Times New Roman" w:hAnsi="Times New Roman" w:eastAsia="Times New Roman" w:cs="Times New Roman"/>
          <w:kern w:val="0"/>
          <w:sz w:val="24"/>
          <w:u w:val="none" w:color="auto"/>
        </w:rPr>
        <w:t xml:space="preserve">   </w:t>
      </w:r>
    </w:p>
    <w:p w14:paraId="2D63D7F0">
      <w:pPr>
        <w:widowControl/>
        <w:spacing w:before="240" w:after="240"/>
        <w:jc w:val="center"/>
        <w:rPr>
          <w:rFonts w:ascii="Times New Roman" w:hAnsi="Times New Roman" w:eastAsia="Times New Roman" w:cs="Times New Roman"/>
          <w:kern w:val="0"/>
          <w:sz w:val="24"/>
          <w:u w:val="none" w:color="auto"/>
        </w:rPr>
      </w:pPr>
      <w:r>
        <w:rPr>
          <w:rFonts w:ascii="FangSong_GB2312" w:hAnsi="FangSong_GB2312" w:eastAsia="FangSong_GB2312" w:cs="FangSong_GB2312"/>
          <w:kern w:val="0"/>
          <w:sz w:val="27"/>
          <w:szCs w:val="27"/>
          <w:u w:val="none" w:color="auto"/>
        </w:rPr>
        <w:t>图</w:t>
      </w:r>
      <w:r>
        <w:rPr>
          <w:rFonts w:ascii="times_new_roman" w:hAnsi="times_new_roman" w:eastAsia="times_new_roman" w:cs="times_new_roman"/>
          <w:kern w:val="0"/>
          <w:sz w:val="27"/>
          <w:szCs w:val="27"/>
          <w:u w:val="none" w:color="auto"/>
        </w:rPr>
        <w:t>1</w:t>
      </w:r>
      <w:r>
        <w:rPr>
          <w:rFonts w:ascii="FangSong_GB2312" w:hAnsi="FangSong_GB2312" w:eastAsia="FangSong_GB2312" w:cs="FangSong_GB2312"/>
          <w:kern w:val="0"/>
          <w:sz w:val="27"/>
          <w:szCs w:val="27"/>
          <w:u w:val="none" w:color="auto"/>
        </w:rPr>
        <w:t>.收入决算图</w:t>
      </w:r>
    </w:p>
    <w:p w14:paraId="669EA02B">
      <w:pPr>
        <w:pStyle w:val="29"/>
        <w:keepNext w:val="0"/>
        <w:keepLines w:val="0"/>
        <w:pageBreakBefore w:val="0"/>
        <w:widowControl/>
        <w:kinsoku/>
        <w:wordWrap/>
        <w:overflowPunct/>
        <w:topLinePunct w:val="0"/>
        <w:autoSpaceDE/>
        <w:autoSpaceDN/>
        <w:bidi w:val="0"/>
        <w:adjustRightInd/>
        <w:snapToGrid/>
        <w:spacing w:before="240" w:after="240" w:line="560" w:lineRule="exact"/>
        <w:ind w:firstLine="643"/>
        <w:jc w:val="left"/>
        <w:textAlignment w:val="auto"/>
        <w:rPr>
          <w:rFonts w:ascii="Times New Roman" w:hAnsi="Times New Roman" w:eastAsia="Times New Roman" w:cs="Times New Roman"/>
          <w:kern w:val="0"/>
          <w:sz w:val="24"/>
          <w:u w:val="none" w:color="auto"/>
        </w:rPr>
      </w:pPr>
      <w:r>
        <w:rPr>
          <w:rFonts w:ascii="黑体" w:hAnsi="黑体" w:eastAsia="黑体" w:cs="黑体"/>
          <w:b/>
          <w:bCs/>
          <w:kern w:val="0"/>
          <w:sz w:val="32"/>
          <w:szCs w:val="32"/>
          <w:u w:val="none" w:color="auto"/>
        </w:rPr>
        <w:t>三、支出决算情况说明</w:t>
      </w:r>
    </w:p>
    <w:p w14:paraId="628F77FF">
      <w:pPr>
        <w:pStyle w:val="29"/>
        <w:keepNext w:val="0"/>
        <w:keepLines w:val="0"/>
        <w:pageBreakBefore w:val="0"/>
        <w:widowControl/>
        <w:kinsoku/>
        <w:wordWrap/>
        <w:overflowPunct/>
        <w:topLinePunct w:val="0"/>
        <w:autoSpaceDE/>
        <w:autoSpaceDN/>
        <w:bidi w:val="0"/>
        <w:adjustRightInd/>
        <w:snapToGrid/>
        <w:spacing w:before="240" w:after="240" w:line="560" w:lineRule="exact"/>
        <w:ind w:firstLine="640"/>
        <w:jc w:val="left"/>
        <w:textAlignment w:val="auto"/>
        <w:rPr>
          <w:rFonts w:hint="eastAsia" w:ascii="方正仿宋_GB2312" w:hAnsi="方正仿宋_GB2312" w:eastAsia="方正仿宋_GB2312" w:cs="方正仿宋_GB2312"/>
          <w:color w:val="auto"/>
          <w:kern w:val="0"/>
          <w:sz w:val="32"/>
          <w:szCs w:val="32"/>
          <w:u w:val="none" w:color="auto"/>
          <w:lang w:val="en-US" w:eastAsia="zh-CN" w:bidi="ar-SA"/>
        </w:rPr>
      </w:pPr>
      <w:r>
        <w:rPr>
          <w:rFonts w:hint="eastAsia" w:ascii="方正仿宋_GB2312" w:hAnsi="方正仿宋_GB2312" w:eastAsia="方正仿宋_GB2312" w:cs="方正仿宋_GB2312"/>
          <w:color w:val="auto"/>
          <w:kern w:val="0"/>
          <w:sz w:val="32"/>
          <w:szCs w:val="32"/>
          <w:u w:val="none" w:color="auto"/>
          <w:lang w:val="en-US" w:eastAsia="zh-CN" w:bidi="ar-SA"/>
        </w:rPr>
        <w:t xml:space="preserve">内蒙古自治区巴彦淖尔市卫生健康委员会（本级） </w:t>
      </w:r>
      <w:r>
        <w:rPr>
          <w:rFonts w:hint="eastAsia" w:ascii="方正仿宋_GB2312" w:hAnsi="方正仿宋_GB2312" w:eastAsia="方正仿宋_GB2312" w:cs="方正仿宋_GB2312"/>
          <w:color w:val="auto"/>
          <w:kern w:val="0"/>
          <w:sz w:val="32"/>
          <w:szCs w:val="32"/>
          <w:u w:val="none" w:color="auto"/>
          <w:lang w:val="en-US" w:eastAsia="en-US" w:bidi="ar-SA"/>
        </w:rPr>
        <w:t>2025</w:t>
      </w:r>
      <w:r>
        <w:rPr>
          <w:rFonts w:hint="eastAsia" w:ascii="方正仿宋_GB2312" w:hAnsi="方正仿宋_GB2312" w:eastAsia="方正仿宋_GB2312" w:cs="方正仿宋_GB2312"/>
          <w:color w:val="auto"/>
          <w:kern w:val="0"/>
          <w:sz w:val="32"/>
          <w:szCs w:val="32"/>
          <w:u w:val="none" w:color="auto"/>
          <w:lang w:val="en-US" w:eastAsia="zh-CN" w:bidi="ar-SA"/>
        </w:rPr>
        <w:t>年度本年支出决算合计</w:t>
      </w:r>
      <w:r>
        <w:rPr>
          <w:rFonts w:hint="eastAsia" w:ascii="方正仿宋_GB2312" w:hAnsi="方正仿宋_GB2312" w:eastAsia="方正仿宋_GB2312" w:cs="方正仿宋_GB2312"/>
          <w:color w:val="auto"/>
          <w:kern w:val="0"/>
          <w:sz w:val="32"/>
          <w:szCs w:val="32"/>
          <w:u w:val="none" w:color="auto"/>
          <w:lang w:val="en-US" w:eastAsia="en-US" w:bidi="ar-SA"/>
        </w:rPr>
        <w:t xml:space="preserve"> 1482.19</w:t>
      </w:r>
      <w:r>
        <w:rPr>
          <w:rFonts w:hint="eastAsia" w:ascii="方正仿宋_GB2312" w:hAnsi="方正仿宋_GB2312" w:eastAsia="方正仿宋_GB2312" w:cs="方正仿宋_GB2312"/>
          <w:color w:val="auto"/>
          <w:kern w:val="0"/>
          <w:sz w:val="32"/>
          <w:szCs w:val="32"/>
          <w:u w:val="none" w:color="auto"/>
          <w:lang w:val="en-US" w:eastAsia="zh-CN" w:bidi="ar-SA"/>
        </w:rPr>
        <w:t>万元，其中：</w:t>
      </w:r>
    </w:p>
    <w:p w14:paraId="30A91DB8">
      <w:pPr>
        <w:pStyle w:val="29"/>
        <w:keepNext w:val="0"/>
        <w:keepLines w:val="0"/>
        <w:pageBreakBefore w:val="0"/>
        <w:widowControl/>
        <w:kinsoku/>
        <w:wordWrap/>
        <w:overflowPunct/>
        <w:topLinePunct w:val="0"/>
        <w:autoSpaceDE/>
        <w:autoSpaceDN/>
        <w:bidi w:val="0"/>
        <w:adjustRightInd/>
        <w:snapToGrid/>
        <w:spacing w:before="240" w:after="240" w:line="560" w:lineRule="exact"/>
        <w:ind w:firstLine="640"/>
        <w:jc w:val="left"/>
        <w:textAlignment w:val="auto"/>
        <w:rPr>
          <w:rFonts w:hint="eastAsia" w:ascii="方正仿宋_GB2312" w:hAnsi="方正仿宋_GB2312" w:eastAsia="方正仿宋_GB2312" w:cs="方正仿宋_GB2312"/>
          <w:color w:val="auto"/>
          <w:kern w:val="0"/>
          <w:sz w:val="32"/>
          <w:szCs w:val="32"/>
          <w:u w:val="none" w:color="auto"/>
          <w:lang w:val="en-US" w:eastAsia="zh-CN" w:bidi="ar-SA"/>
        </w:rPr>
      </w:pPr>
      <w:r>
        <w:rPr>
          <w:rFonts w:hint="eastAsia" w:ascii="方正仿宋_GB2312" w:hAnsi="方正仿宋_GB2312" w:eastAsia="方正仿宋_GB2312" w:cs="方正仿宋_GB2312"/>
          <w:color w:val="auto"/>
          <w:kern w:val="0"/>
          <w:sz w:val="32"/>
          <w:szCs w:val="32"/>
          <w:u w:val="none" w:color="auto"/>
          <w:lang w:val="en-US" w:eastAsia="zh-CN" w:bidi="ar-SA"/>
        </w:rPr>
        <w:t>基本支出</w:t>
      </w:r>
      <w:r>
        <w:rPr>
          <w:rFonts w:hint="eastAsia" w:ascii="方正仿宋_GB2312" w:hAnsi="方正仿宋_GB2312" w:eastAsia="方正仿宋_GB2312" w:cs="方正仿宋_GB2312"/>
          <w:color w:val="auto"/>
          <w:kern w:val="0"/>
          <w:sz w:val="32"/>
          <w:szCs w:val="32"/>
          <w:u w:val="none" w:color="auto"/>
          <w:lang w:val="en-US" w:eastAsia="en-US" w:bidi="ar-SA"/>
        </w:rPr>
        <w:t xml:space="preserve"> 863.08</w:t>
      </w:r>
      <w:r>
        <w:rPr>
          <w:rFonts w:hint="eastAsia" w:ascii="方正仿宋_GB2312" w:hAnsi="方正仿宋_GB2312" w:eastAsia="方正仿宋_GB2312" w:cs="方正仿宋_GB2312"/>
          <w:color w:val="auto"/>
          <w:kern w:val="0"/>
          <w:sz w:val="32"/>
          <w:szCs w:val="32"/>
          <w:u w:val="none" w:color="auto"/>
          <w:lang w:val="en-US" w:eastAsia="zh-CN" w:bidi="ar-SA"/>
        </w:rPr>
        <w:t>万元，占</w:t>
      </w:r>
      <w:r>
        <w:rPr>
          <w:rFonts w:hint="eastAsia" w:ascii="方正仿宋_GB2312" w:hAnsi="方正仿宋_GB2312" w:eastAsia="方正仿宋_GB2312" w:cs="方正仿宋_GB2312"/>
          <w:color w:val="auto"/>
          <w:kern w:val="0"/>
          <w:sz w:val="32"/>
          <w:szCs w:val="32"/>
          <w:u w:val="none" w:color="auto"/>
          <w:lang w:val="en-US" w:eastAsia="en-US" w:bidi="ar-SA"/>
        </w:rPr>
        <w:t xml:space="preserve"> 58.23%</w:t>
      </w:r>
      <w:r>
        <w:rPr>
          <w:rFonts w:hint="eastAsia" w:ascii="方正仿宋_GB2312" w:hAnsi="方正仿宋_GB2312" w:eastAsia="方正仿宋_GB2312" w:cs="方正仿宋_GB2312"/>
          <w:color w:val="auto"/>
          <w:kern w:val="0"/>
          <w:sz w:val="32"/>
          <w:szCs w:val="32"/>
          <w:u w:val="none" w:color="auto"/>
          <w:lang w:val="en-US" w:eastAsia="zh-CN" w:bidi="ar-SA"/>
        </w:rPr>
        <w:t>；</w:t>
      </w:r>
    </w:p>
    <w:p w14:paraId="64D86F99">
      <w:pPr>
        <w:pStyle w:val="29"/>
        <w:keepNext w:val="0"/>
        <w:keepLines w:val="0"/>
        <w:pageBreakBefore w:val="0"/>
        <w:widowControl/>
        <w:kinsoku/>
        <w:wordWrap/>
        <w:overflowPunct/>
        <w:topLinePunct w:val="0"/>
        <w:autoSpaceDE/>
        <w:autoSpaceDN/>
        <w:bidi w:val="0"/>
        <w:adjustRightInd/>
        <w:snapToGrid/>
        <w:spacing w:before="240" w:after="240" w:line="560" w:lineRule="exact"/>
        <w:ind w:firstLine="640"/>
        <w:jc w:val="left"/>
        <w:textAlignment w:val="auto"/>
        <w:rPr>
          <w:rFonts w:hint="eastAsia" w:ascii="方正仿宋_GB2312" w:hAnsi="方正仿宋_GB2312" w:eastAsia="方正仿宋_GB2312" w:cs="方正仿宋_GB2312"/>
          <w:color w:val="auto"/>
          <w:kern w:val="0"/>
          <w:sz w:val="32"/>
          <w:szCs w:val="32"/>
          <w:u w:val="none" w:color="auto"/>
          <w:lang w:val="en-US" w:eastAsia="zh-CN" w:bidi="ar-SA"/>
        </w:rPr>
      </w:pPr>
      <w:r>
        <w:rPr>
          <w:rFonts w:hint="eastAsia" w:ascii="方正仿宋_GB2312" w:hAnsi="方正仿宋_GB2312" w:eastAsia="方正仿宋_GB2312" w:cs="方正仿宋_GB2312"/>
          <w:color w:val="auto"/>
          <w:kern w:val="0"/>
          <w:sz w:val="32"/>
          <w:szCs w:val="32"/>
          <w:u w:val="none" w:color="auto"/>
          <w:lang w:val="en-US" w:eastAsia="zh-CN" w:bidi="ar-SA"/>
        </w:rPr>
        <w:t>项目支出</w:t>
      </w:r>
      <w:r>
        <w:rPr>
          <w:rFonts w:hint="eastAsia" w:ascii="方正仿宋_GB2312" w:hAnsi="方正仿宋_GB2312" w:eastAsia="方正仿宋_GB2312" w:cs="方正仿宋_GB2312"/>
          <w:color w:val="auto"/>
          <w:kern w:val="0"/>
          <w:sz w:val="32"/>
          <w:szCs w:val="32"/>
          <w:u w:val="none" w:color="auto"/>
          <w:lang w:val="en-US" w:eastAsia="en-US" w:bidi="ar-SA"/>
        </w:rPr>
        <w:t xml:space="preserve"> 619.10</w:t>
      </w:r>
      <w:r>
        <w:rPr>
          <w:rFonts w:hint="eastAsia" w:ascii="方正仿宋_GB2312" w:hAnsi="方正仿宋_GB2312" w:eastAsia="方正仿宋_GB2312" w:cs="方正仿宋_GB2312"/>
          <w:color w:val="auto"/>
          <w:kern w:val="0"/>
          <w:sz w:val="32"/>
          <w:szCs w:val="32"/>
          <w:u w:val="none" w:color="auto"/>
          <w:lang w:val="en-US" w:eastAsia="zh-CN" w:bidi="ar-SA"/>
        </w:rPr>
        <w:t>万元，占</w:t>
      </w:r>
      <w:r>
        <w:rPr>
          <w:rFonts w:hint="eastAsia" w:ascii="方正仿宋_GB2312" w:hAnsi="方正仿宋_GB2312" w:eastAsia="方正仿宋_GB2312" w:cs="方正仿宋_GB2312"/>
          <w:color w:val="auto"/>
          <w:kern w:val="0"/>
          <w:sz w:val="32"/>
          <w:szCs w:val="32"/>
          <w:u w:val="none" w:color="auto"/>
          <w:lang w:val="en-US" w:eastAsia="en-US" w:bidi="ar-SA"/>
        </w:rPr>
        <w:t xml:space="preserve"> 41.77%</w:t>
      </w:r>
      <w:r>
        <w:rPr>
          <w:rFonts w:hint="eastAsia" w:ascii="方正仿宋_GB2312" w:hAnsi="方正仿宋_GB2312" w:eastAsia="方正仿宋_GB2312" w:cs="方正仿宋_GB2312"/>
          <w:color w:val="auto"/>
          <w:kern w:val="0"/>
          <w:sz w:val="32"/>
          <w:szCs w:val="32"/>
          <w:u w:val="none" w:color="auto"/>
          <w:lang w:val="en-US" w:eastAsia="zh-CN" w:bidi="ar-SA"/>
        </w:rPr>
        <w:t>；</w:t>
      </w:r>
    </w:p>
    <w:p w14:paraId="76428E57">
      <w:pPr>
        <w:pStyle w:val="29"/>
        <w:keepNext w:val="0"/>
        <w:keepLines w:val="0"/>
        <w:pageBreakBefore w:val="0"/>
        <w:widowControl/>
        <w:kinsoku/>
        <w:wordWrap/>
        <w:overflowPunct/>
        <w:topLinePunct w:val="0"/>
        <w:autoSpaceDE/>
        <w:autoSpaceDN/>
        <w:bidi w:val="0"/>
        <w:adjustRightInd/>
        <w:snapToGrid/>
        <w:spacing w:before="240" w:after="240" w:line="560" w:lineRule="exact"/>
        <w:ind w:firstLine="640"/>
        <w:jc w:val="left"/>
        <w:textAlignment w:val="auto"/>
        <w:rPr>
          <w:rFonts w:hint="eastAsia" w:ascii="方正仿宋_GB2312" w:hAnsi="方正仿宋_GB2312" w:eastAsia="方正仿宋_GB2312" w:cs="方正仿宋_GB2312"/>
          <w:color w:val="auto"/>
          <w:kern w:val="0"/>
          <w:sz w:val="32"/>
          <w:szCs w:val="32"/>
          <w:u w:val="none" w:color="auto"/>
          <w:lang w:val="en-US" w:eastAsia="zh-CN" w:bidi="ar-SA"/>
        </w:rPr>
      </w:pPr>
      <w:r>
        <w:rPr>
          <w:rFonts w:hint="eastAsia" w:ascii="方正仿宋_GB2312" w:hAnsi="方正仿宋_GB2312" w:eastAsia="方正仿宋_GB2312" w:cs="方正仿宋_GB2312"/>
          <w:color w:val="auto"/>
          <w:kern w:val="0"/>
          <w:sz w:val="32"/>
          <w:szCs w:val="32"/>
          <w:u w:val="none" w:color="auto"/>
          <w:lang w:val="en-US" w:eastAsia="zh-CN" w:bidi="ar-SA"/>
        </w:rPr>
        <w:t>上缴上级支出</w:t>
      </w:r>
      <w:r>
        <w:rPr>
          <w:rFonts w:hint="eastAsia" w:ascii="方正仿宋_GB2312" w:hAnsi="方正仿宋_GB2312" w:eastAsia="方正仿宋_GB2312" w:cs="方正仿宋_GB2312"/>
          <w:color w:val="auto"/>
          <w:kern w:val="0"/>
          <w:sz w:val="32"/>
          <w:szCs w:val="32"/>
          <w:u w:val="none" w:color="auto"/>
          <w:lang w:val="en-US" w:eastAsia="en-US" w:bidi="ar-SA"/>
        </w:rPr>
        <w:t xml:space="preserve"> 0</w:t>
      </w:r>
      <w:r>
        <w:rPr>
          <w:rFonts w:hint="eastAsia" w:ascii="方正仿宋_GB2312" w:hAnsi="方正仿宋_GB2312" w:eastAsia="方正仿宋_GB2312" w:cs="方正仿宋_GB2312"/>
          <w:color w:val="auto"/>
          <w:kern w:val="0"/>
          <w:sz w:val="32"/>
          <w:szCs w:val="32"/>
          <w:u w:val="none" w:color="auto"/>
          <w:lang w:val="en-US" w:eastAsia="zh-CN" w:bidi="ar-SA"/>
        </w:rPr>
        <w:t>万元，占</w:t>
      </w:r>
      <w:r>
        <w:rPr>
          <w:rFonts w:hint="eastAsia" w:ascii="方正仿宋_GB2312" w:hAnsi="方正仿宋_GB2312" w:eastAsia="方正仿宋_GB2312" w:cs="方正仿宋_GB2312"/>
          <w:color w:val="auto"/>
          <w:kern w:val="0"/>
          <w:sz w:val="32"/>
          <w:szCs w:val="32"/>
          <w:u w:val="none" w:color="auto"/>
          <w:lang w:val="en-US" w:eastAsia="en-US" w:bidi="ar-SA"/>
        </w:rPr>
        <w:t xml:space="preserve"> 0%</w:t>
      </w:r>
      <w:r>
        <w:rPr>
          <w:rFonts w:hint="eastAsia" w:ascii="方正仿宋_GB2312" w:hAnsi="方正仿宋_GB2312" w:eastAsia="方正仿宋_GB2312" w:cs="方正仿宋_GB2312"/>
          <w:color w:val="auto"/>
          <w:kern w:val="0"/>
          <w:sz w:val="32"/>
          <w:szCs w:val="32"/>
          <w:u w:val="none" w:color="auto"/>
          <w:lang w:val="en-US" w:eastAsia="zh-CN" w:bidi="ar-SA"/>
        </w:rPr>
        <w:t>；</w:t>
      </w:r>
    </w:p>
    <w:p w14:paraId="437F258E">
      <w:pPr>
        <w:pStyle w:val="29"/>
        <w:keepNext w:val="0"/>
        <w:keepLines w:val="0"/>
        <w:pageBreakBefore w:val="0"/>
        <w:widowControl/>
        <w:kinsoku/>
        <w:wordWrap/>
        <w:overflowPunct/>
        <w:topLinePunct w:val="0"/>
        <w:autoSpaceDE/>
        <w:autoSpaceDN/>
        <w:bidi w:val="0"/>
        <w:adjustRightInd/>
        <w:snapToGrid/>
        <w:spacing w:before="240" w:after="240" w:line="560" w:lineRule="exact"/>
        <w:ind w:firstLine="640"/>
        <w:jc w:val="left"/>
        <w:textAlignment w:val="auto"/>
        <w:rPr>
          <w:rFonts w:hint="eastAsia" w:ascii="方正仿宋_GB2312" w:hAnsi="方正仿宋_GB2312" w:eastAsia="方正仿宋_GB2312" w:cs="方正仿宋_GB2312"/>
          <w:color w:val="auto"/>
          <w:kern w:val="0"/>
          <w:sz w:val="32"/>
          <w:szCs w:val="32"/>
          <w:u w:val="none" w:color="auto"/>
          <w:lang w:val="en-US" w:eastAsia="zh-CN" w:bidi="ar-SA"/>
        </w:rPr>
      </w:pPr>
      <w:r>
        <w:rPr>
          <w:rFonts w:hint="eastAsia" w:ascii="方正仿宋_GB2312" w:hAnsi="方正仿宋_GB2312" w:eastAsia="方正仿宋_GB2312" w:cs="方正仿宋_GB2312"/>
          <w:color w:val="auto"/>
          <w:kern w:val="0"/>
          <w:sz w:val="32"/>
          <w:szCs w:val="32"/>
          <w:u w:val="none" w:color="auto"/>
          <w:lang w:val="en-US" w:eastAsia="zh-CN" w:bidi="ar-SA"/>
        </w:rPr>
        <w:t>经营支出</w:t>
      </w:r>
      <w:r>
        <w:rPr>
          <w:rFonts w:hint="eastAsia" w:ascii="方正仿宋_GB2312" w:hAnsi="方正仿宋_GB2312" w:eastAsia="方正仿宋_GB2312" w:cs="方正仿宋_GB2312"/>
          <w:color w:val="auto"/>
          <w:kern w:val="0"/>
          <w:sz w:val="32"/>
          <w:szCs w:val="32"/>
          <w:u w:val="none" w:color="auto"/>
          <w:lang w:val="en-US" w:eastAsia="en-US" w:bidi="ar-SA"/>
        </w:rPr>
        <w:t xml:space="preserve"> 0</w:t>
      </w:r>
      <w:r>
        <w:rPr>
          <w:rFonts w:hint="eastAsia" w:ascii="方正仿宋_GB2312" w:hAnsi="方正仿宋_GB2312" w:eastAsia="方正仿宋_GB2312" w:cs="方正仿宋_GB2312"/>
          <w:color w:val="auto"/>
          <w:kern w:val="0"/>
          <w:sz w:val="32"/>
          <w:szCs w:val="32"/>
          <w:u w:val="none" w:color="auto"/>
          <w:lang w:val="en-US" w:eastAsia="zh-CN" w:bidi="ar-SA"/>
        </w:rPr>
        <w:t>万元，占</w:t>
      </w:r>
      <w:r>
        <w:rPr>
          <w:rFonts w:hint="eastAsia" w:ascii="方正仿宋_GB2312" w:hAnsi="方正仿宋_GB2312" w:eastAsia="方正仿宋_GB2312" w:cs="方正仿宋_GB2312"/>
          <w:color w:val="auto"/>
          <w:kern w:val="0"/>
          <w:sz w:val="32"/>
          <w:szCs w:val="32"/>
          <w:u w:val="none" w:color="auto"/>
          <w:lang w:val="en-US" w:eastAsia="en-US" w:bidi="ar-SA"/>
        </w:rPr>
        <w:t xml:space="preserve"> 0%</w:t>
      </w:r>
      <w:r>
        <w:rPr>
          <w:rFonts w:hint="eastAsia" w:ascii="方正仿宋_GB2312" w:hAnsi="方正仿宋_GB2312" w:eastAsia="方正仿宋_GB2312" w:cs="方正仿宋_GB2312"/>
          <w:color w:val="auto"/>
          <w:kern w:val="0"/>
          <w:sz w:val="32"/>
          <w:szCs w:val="32"/>
          <w:u w:val="none" w:color="auto"/>
          <w:lang w:val="en-US" w:eastAsia="zh-CN" w:bidi="ar-SA"/>
        </w:rPr>
        <w:t>；</w:t>
      </w:r>
    </w:p>
    <w:p w14:paraId="59E58C8A">
      <w:pPr>
        <w:pStyle w:val="29"/>
        <w:keepNext w:val="0"/>
        <w:keepLines w:val="0"/>
        <w:pageBreakBefore w:val="0"/>
        <w:widowControl/>
        <w:kinsoku/>
        <w:wordWrap/>
        <w:overflowPunct/>
        <w:topLinePunct w:val="0"/>
        <w:autoSpaceDE/>
        <w:autoSpaceDN/>
        <w:bidi w:val="0"/>
        <w:adjustRightInd/>
        <w:snapToGrid/>
        <w:spacing w:before="240" w:after="240" w:line="560" w:lineRule="exact"/>
        <w:ind w:firstLine="640"/>
        <w:jc w:val="left"/>
        <w:textAlignment w:val="auto"/>
        <w:rPr>
          <w:rFonts w:hint="eastAsia" w:ascii="方正仿宋_GB2312" w:hAnsi="方正仿宋_GB2312" w:eastAsia="方正仿宋_GB2312" w:cs="方正仿宋_GB2312"/>
          <w:color w:val="auto"/>
          <w:kern w:val="0"/>
          <w:sz w:val="32"/>
          <w:szCs w:val="32"/>
          <w:u w:val="none" w:color="auto"/>
          <w:lang w:val="en-US" w:eastAsia="zh-CN" w:bidi="ar-SA"/>
        </w:rPr>
      </w:pPr>
      <w:r>
        <w:rPr>
          <w:rFonts w:hint="eastAsia" w:ascii="方正仿宋_GB2312" w:hAnsi="方正仿宋_GB2312" w:eastAsia="方正仿宋_GB2312" w:cs="方正仿宋_GB2312"/>
          <w:color w:val="auto"/>
          <w:kern w:val="0"/>
          <w:sz w:val="32"/>
          <w:szCs w:val="32"/>
          <w:u w:val="none" w:color="auto"/>
          <w:lang w:val="en-US" w:eastAsia="zh-CN" w:bidi="ar-SA"/>
        </w:rPr>
        <w:t>对附属单位补助支出</w:t>
      </w:r>
      <w:r>
        <w:rPr>
          <w:rFonts w:hint="eastAsia" w:ascii="方正仿宋_GB2312" w:hAnsi="方正仿宋_GB2312" w:eastAsia="方正仿宋_GB2312" w:cs="方正仿宋_GB2312"/>
          <w:color w:val="auto"/>
          <w:kern w:val="0"/>
          <w:sz w:val="32"/>
          <w:szCs w:val="32"/>
          <w:u w:val="none" w:color="auto"/>
          <w:lang w:val="en-US" w:eastAsia="en-US" w:bidi="ar-SA"/>
        </w:rPr>
        <w:t xml:space="preserve"> 0</w:t>
      </w:r>
      <w:r>
        <w:rPr>
          <w:rFonts w:hint="eastAsia" w:ascii="方正仿宋_GB2312" w:hAnsi="方正仿宋_GB2312" w:eastAsia="方正仿宋_GB2312" w:cs="方正仿宋_GB2312"/>
          <w:color w:val="auto"/>
          <w:kern w:val="0"/>
          <w:sz w:val="32"/>
          <w:szCs w:val="32"/>
          <w:u w:val="none" w:color="auto"/>
          <w:lang w:val="en-US" w:eastAsia="zh-CN" w:bidi="ar-SA"/>
        </w:rPr>
        <w:t>万元，占</w:t>
      </w:r>
      <w:r>
        <w:rPr>
          <w:rFonts w:hint="eastAsia" w:ascii="方正仿宋_GB2312" w:hAnsi="方正仿宋_GB2312" w:eastAsia="方正仿宋_GB2312" w:cs="方正仿宋_GB2312"/>
          <w:color w:val="auto"/>
          <w:kern w:val="0"/>
          <w:sz w:val="32"/>
          <w:szCs w:val="32"/>
          <w:u w:val="none" w:color="auto"/>
          <w:lang w:val="en-US" w:eastAsia="en-US" w:bidi="ar-SA"/>
        </w:rPr>
        <w:t xml:space="preserve"> 0%</w:t>
      </w:r>
      <w:r>
        <w:rPr>
          <w:rFonts w:hint="eastAsia" w:ascii="方正仿宋_GB2312" w:hAnsi="方正仿宋_GB2312" w:eastAsia="方正仿宋_GB2312" w:cs="方正仿宋_GB2312"/>
          <w:color w:val="auto"/>
          <w:kern w:val="0"/>
          <w:sz w:val="32"/>
          <w:szCs w:val="32"/>
          <w:u w:val="none" w:color="auto"/>
          <w:lang w:val="en-US" w:eastAsia="zh-CN" w:bidi="ar-SA"/>
        </w:rPr>
        <w:t>。</w:t>
      </w:r>
    </w:p>
    <w:p w14:paraId="79860355">
      <w:pPr>
        <w:widowControl/>
        <w:spacing w:before="240" w:after="240"/>
        <w:jc w:val="center"/>
        <w:rPr>
          <w:rFonts w:ascii="Times New Roman" w:hAnsi="Times New Roman" w:eastAsia="Times New Roman" w:cs="Times New Roman"/>
          <w:kern w:val="0"/>
          <w:sz w:val="24"/>
          <w:u w:val="none" w:color="auto"/>
        </w:rPr>
      </w:pPr>
      <w:r>
        <w:rPr>
          <w:rFonts w:ascii="Times New Roman" w:hAnsi="Times New Roman" w:eastAsia="Times New Roman" w:cs="Times New Roman"/>
          <w:strike w:val="0"/>
          <w:kern w:val="0"/>
          <w:sz w:val="24"/>
          <w:u w:val="none" w:color="auto"/>
        </w:rPr>
        <w:pict>
          <v:shape id="_x0000_i1026" o:spt="75" type="#_x0000_t75" style="height:247.5pt;width:414.75pt;" filled="f" o:preferrelative="t" stroked="f" coordsize="21600,21600">
            <v:path/>
            <v:fill on="f" focussize="0,0"/>
            <v:stroke on="f"/>
            <v:imagedata r:id="rId7" o:title=""/>
            <o:lock v:ext="edit" aspectratio="t"/>
            <w10:wrap type="none"/>
            <w10:anchorlock/>
          </v:shape>
        </w:pict>
      </w:r>
      <w:r>
        <w:rPr>
          <w:rFonts w:ascii="Times New Roman" w:hAnsi="Times New Roman" w:eastAsia="Times New Roman" w:cs="Times New Roman"/>
          <w:kern w:val="0"/>
          <w:sz w:val="24"/>
          <w:u w:val="none" w:color="auto"/>
        </w:rPr>
        <w:t xml:space="preserve">   </w:t>
      </w:r>
    </w:p>
    <w:p w14:paraId="2175C9F2">
      <w:pPr>
        <w:widowControl/>
        <w:spacing w:before="240" w:after="240"/>
        <w:jc w:val="center"/>
        <w:rPr>
          <w:rFonts w:ascii="Times New Roman" w:hAnsi="Times New Roman" w:eastAsia="Times New Roman" w:cs="Times New Roman"/>
          <w:kern w:val="0"/>
          <w:sz w:val="24"/>
          <w:u w:val="none" w:color="auto"/>
        </w:rPr>
      </w:pPr>
      <w:r>
        <w:rPr>
          <w:rFonts w:ascii="FangSong_GB2312" w:hAnsi="FangSong_GB2312" w:eastAsia="FangSong_GB2312" w:cs="FangSong_GB2312"/>
          <w:kern w:val="0"/>
          <w:sz w:val="27"/>
          <w:szCs w:val="27"/>
          <w:u w:val="none" w:color="auto"/>
        </w:rPr>
        <w:t>图2.支出决算图</w:t>
      </w:r>
    </w:p>
    <w:p w14:paraId="18D0E5C6">
      <w:pPr>
        <w:pStyle w:val="29"/>
        <w:keepNext w:val="0"/>
        <w:keepLines w:val="0"/>
        <w:pageBreakBefore w:val="0"/>
        <w:widowControl/>
        <w:kinsoku/>
        <w:wordWrap/>
        <w:overflowPunct/>
        <w:topLinePunct w:val="0"/>
        <w:autoSpaceDE/>
        <w:autoSpaceDN/>
        <w:bidi w:val="0"/>
        <w:adjustRightInd/>
        <w:snapToGrid/>
        <w:spacing w:line="560" w:lineRule="exact"/>
        <w:ind w:firstLine="643"/>
        <w:jc w:val="left"/>
        <w:textAlignment w:val="auto"/>
        <w:rPr>
          <w:rFonts w:ascii="Times New Roman" w:hAnsi="Times New Roman" w:eastAsia="Times New Roman" w:cs="Times New Roman"/>
          <w:kern w:val="0"/>
          <w:sz w:val="24"/>
          <w:u w:val="none" w:color="auto"/>
        </w:rPr>
      </w:pPr>
      <w:r>
        <w:rPr>
          <w:rFonts w:ascii="黑体" w:hAnsi="黑体" w:eastAsia="黑体" w:cs="黑体"/>
          <w:b/>
          <w:bCs/>
          <w:kern w:val="0"/>
          <w:sz w:val="32"/>
          <w:szCs w:val="32"/>
          <w:u w:val="none" w:color="auto"/>
        </w:rPr>
        <w:t>四、财政拨款收入支出决算总体情况说明</w:t>
      </w:r>
    </w:p>
    <w:p w14:paraId="3759C965">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方正仿宋_GB2312" w:hAnsi="方正仿宋_GB2312" w:eastAsia="方正仿宋_GB2312" w:cs="方正仿宋_GB2312"/>
          <w:color w:val="auto"/>
          <w:kern w:val="0"/>
          <w:sz w:val="32"/>
          <w:szCs w:val="32"/>
          <w:u w:val="none" w:color="auto"/>
          <w:lang w:val="en-US" w:eastAsia="zh-CN" w:bidi="ar-SA"/>
        </w:rPr>
      </w:pPr>
      <w:r>
        <w:rPr>
          <w:rFonts w:hint="eastAsia" w:ascii="仿宋" w:hAnsi="仿宋" w:eastAsia="仿宋" w:cs="仿宋"/>
          <w:kern w:val="2"/>
          <w:sz w:val="32"/>
          <w:szCs w:val="32"/>
          <w:u w:val="none" w:color="auto"/>
          <w:lang w:val="en-US" w:eastAsia="zh-CN" w:bidi="ar-SA"/>
        </w:rPr>
        <w:t xml:space="preserve">内蒙古自治区巴彦淖尔市卫生健康委员会（本级） </w:t>
      </w:r>
      <w:r>
        <w:rPr>
          <w:rFonts w:hint="eastAsia" w:ascii="仿宋" w:hAnsi="仿宋" w:eastAsia="仿宋" w:cs="仿宋"/>
          <w:kern w:val="2"/>
          <w:sz w:val="32"/>
          <w:szCs w:val="32"/>
          <w:u w:val="none" w:color="auto"/>
          <w:lang w:val="en-US" w:eastAsia="en-US" w:bidi="ar-SA"/>
        </w:rPr>
        <w:t>2025</w:t>
      </w:r>
      <w:r>
        <w:rPr>
          <w:rFonts w:hint="eastAsia" w:ascii="仿宋" w:hAnsi="仿宋" w:eastAsia="仿宋" w:cs="仿宋"/>
          <w:kern w:val="2"/>
          <w:sz w:val="32"/>
          <w:szCs w:val="32"/>
          <w:u w:val="none" w:color="auto"/>
          <w:lang w:val="en-US" w:eastAsia="zh-CN" w:bidi="ar-SA"/>
        </w:rPr>
        <w:t>年度财政拨款收入、支出决算总计均为</w:t>
      </w:r>
      <w:r>
        <w:rPr>
          <w:rFonts w:hint="eastAsia" w:ascii="仿宋" w:hAnsi="仿宋" w:eastAsia="仿宋" w:cs="仿宋"/>
          <w:kern w:val="2"/>
          <w:sz w:val="32"/>
          <w:szCs w:val="32"/>
          <w:u w:val="none" w:color="auto"/>
          <w:lang w:val="en-US" w:eastAsia="en-US" w:bidi="ar-SA"/>
        </w:rPr>
        <w:t xml:space="preserve"> 1531.74</w:t>
      </w:r>
      <w:r>
        <w:rPr>
          <w:rFonts w:hint="eastAsia" w:ascii="仿宋" w:hAnsi="仿宋" w:eastAsia="仿宋" w:cs="仿宋"/>
          <w:kern w:val="2"/>
          <w:sz w:val="32"/>
          <w:szCs w:val="32"/>
          <w:u w:val="none" w:color="auto"/>
          <w:lang w:val="en-US" w:eastAsia="zh-CN" w:bidi="ar-SA"/>
        </w:rPr>
        <w:t>万元，与年初预算相比，收、支总计各增加</w:t>
      </w:r>
      <w:r>
        <w:rPr>
          <w:rFonts w:hint="eastAsia" w:ascii="仿宋" w:hAnsi="仿宋" w:eastAsia="仿宋" w:cs="仿宋"/>
          <w:kern w:val="2"/>
          <w:sz w:val="32"/>
          <w:szCs w:val="32"/>
          <w:u w:val="none" w:color="auto"/>
          <w:lang w:val="en-US" w:eastAsia="en-US" w:bidi="ar-SA"/>
        </w:rPr>
        <w:t xml:space="preserve"> 0</w:t>
      </w:r>
      <w:r>
        <w:rPr>
          <w:rFonts w:hint="eastAsia" w:ascii="仿宋" w:hAnsi="仿宋" w:eastAsia="仿宋" w:cs="仿宋"/>
          <w:kern w:val="2"/>
          <w:sz w:val="32"/>
          <w:szCs w:val="32"/>
          <w:u w:val="none" w:color="auto"/>
          <w:lang w:val="en-US" w:eastAsia="zh-CN" w:bidi="ar-SA"/>
        </w:rPr>
        <w:t>万元，增长</w:t>
      </w:r>
      <w:r>
        <w:rPr>
          <w:rFonts w:hint="eastAsia" w:ascii="仿宋" w:hAnsi="仿宋" w:eastAsia="仿宋" w:cs="仿宋"/>
          <w:kern w:val="2"/>
          <w:sz w:val="32"/>
          <w:szCs w:val="32"/>
          <w:u w:val="none" w:color="auto"/>
          <w:lang w:val="en-US" w:eastAsia="en-US" w:bidi="ar-SA"/>
        </w:rPr>
        <w:t xml:space="preserve"> 0%</w:t>
      </w:r>
      <w:r>
        <w:rPr>
          <w:rFonts w:hint="eastAsia" w:ascii="仿宋" w:hAnsi="仿宋" w:eastAsia="仿宋" w:cs="仿宋"/>
          <w:kern w:val="2"/>
          <w:sz w:val="32"/>
          <w:szCs w:val="32"/>
          <w:u w:val="none" w:color="auto"/>
          <w:lang w:val="en-US" w:eastAsia="zh-CN" w:bidi="ar-SA"/>
        </w:rPr>
        <w:t>，变动原因：无；与上年决算相比，收、支总计各增加</w:t>
      </w:r>
      <w:r>
        <w:rPr>
          <w:rFonts w:hint="eastAsia" w:ascii="仿宋" w:hAnsi="仿宋" w:eastAsia="仿宋" w:cs="仿宋"/>
          <w:kern w:val="2"/>
          <w:sz w:val="32"/>
          <w:szCs w:val="32"/>
          <w:u w:val="none" w:color="auto"/>
          <w:lang w:val="en-US" w:eastAsia="en-US" w:bidi="ar-SA"/>
        </w:rPr>
        <w:t>27.95</w:t>
      </w:r>
      <w:r>
        <w:rPr>
          <w:rFonts w:hint="eastAsia" w:ascii="仿宋" w:hAnsi="仿宋" w:eastAsia="仿宋" w:cs="仿宋"/>
          <w:kern w:val="2"/>
          <w:sz w:val="32"/>
          <w:szCs w:val="32"/>
          <w:u w:val="none" w:color="auto"/>
          <w:lang w:val="en-US" w:eastAsia="zh-CN" w:bidi="ar-SA"/>
        </w:rPr>
        <w:t>万元，增长</w:t>
      </w:r>
      <w:r>
        <w:rPr>
          <w:rFonts w:hint="eastAsia" w:ascii="仿宋" w:hAnsi="仿宋" w:eastAsia="仿宋" w:cs="仿宋"/>
          <w:kern w:val="2"/>
          <w:sz w:val="32"/>
          <w:szCs w:val="32"/>
          <w:u w:val="none" w:color="auto"/>
          <w:lang w:val="en-US" w:eastAsia="en-US" w:bidi="ar-SA"/>
        </w:rPr>
        <w:t>1.86%</w:t>
      </w:r>
      <w:r>
        <w:rPr>
          <w:rFonts w:hint="eastAsia" w:ascii="仿宋" w:hAnsi="仿宋" w:eastAsia="仿宋" w:cs="仿宋"/>
          <w:kern w:val="2"/>
          <w:sz w:val="32"/>
          <w:szCs w:val="32"/>
          <w:u w:val="none" w:color="auto"/>
          <w:lang w:val="en-US" w:eastAsia="zh-CN" w:bidi="ar-SA"/>
        </w:rPr>
        <w:t>，变动原因：本年死亡抚恤增加，卫生健康</w:t>
      </w:r>
      <w:r>
        <w:rPr>
          <w:rFonts w:hint="eastAsia" w:ascii="方正仿宋_GB2312" w:hAnsi="方正仿宋_GB2312" w:eastAsia="方正仿宋_GB2312" w:cs="方正仿宋_GB2312"/>
          <w:color w:val="auto"/>
          <w:kern w:val="0"/>
          <w:sz w:val="32"/>
          <w:szCs w:val="32"/>
          <w:u w:val="none" w:color="auto"/>
          <w:lang w:val="en-US" w:eastAsia="zh-CN" w:bidi="ar-SA"/>
        </w:rPr>
        <w:t>支出减少。</w:t>
      </w:r>
    </w:p>
    <w:p w14:paraId="532265C4">
      <w:pPr>
        <w:pStyle w:val="29"/>
        <w:keepNext w:val="0"/>
        <w:keepLines w:val="0"/>
        <w:pageBreakBefore w:val="0"/>
        <w:widowControl/>
        <w:kinsoku/>
        <w:wordWrap/>
        <w:overflowPunct/>
        <w:topLinePunct w:val="0"/>
        <w:autoSpaceDE/>
        <w:autoSpaceDN/>
        <w:bidi w:val="0"/>
        <w:adjustRightInd/>
        <w:snapToGrid/>
        <w:spacing w:line="560" w:lineRule="exact"/>
        <w:ind w:firstLine="643"/>
        <w:jc w:val="left"/>
        <w:textAlignment w:val="auto"/>
        <w:rPr>
          <w:rFonts w:ascii="Times New Roman" w:hAnsi="Times New Roman" w:eastAsia="Times New Roman" w:cs="Times New Roman"/>
          <w:kern w:val="0"/>
          <w:sz w:val="24"/>
          <w:u w:val="none" w:color="auto"/>
        </w:rPr>
      </w:pPr>
      <w:r>
        <w:rPr>
          <w:rFonts w:ascii="黑体" w:hAnsi="黑体" w:eastAsia="黑体" w:cs="黑体"/>
          <w:b/>
          <w:bCs/>
          <w:kern w:val="0"/>
          <w:sz w:val="32"/>
          <w:szCs w:val="32"/>
          <w:u w:val="none" w:color="auto"/>
        </w:rPr>
        <w:t>五、一般公共预算财政拨款支出决算情况说明</w:t>
      </w:r>
    </w:p>
    <w:p w14:paraId="18F64E80">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kern w:val="2"/>
          <w:sz w:val="32"/>
          <w:szCs w:val="32"/>
          <w:u w:val="none" w:color="auto"/>
          <w:lang w:val="en-US" w:eastAsia="zh-CN" w:bidi="ar-SA"/>
        </w:rPr>
      </w:pPr>
      <w:r>
        <w:rPr>
          <w:rFonts w:hint="eastAsia" w:ascii="仿宋" w:hAnsi="仿宋" w:eastAsia="仿宋" w:cs="仿宋"/>
          <w:kern w:val="2"/>
          <w:sz w:val="32"/>
          <w:szCs w:val="32"/>
          <w:u w:val="none" w:color="auto"/>
          <w:lang w:val="en-US" w:eastAsia="zh-CN" w:bidi="ar-SA"/>
        </w:rPr>
        <w:t xml:space="preserve">内蒙古自治区巴彦淖尔市卫生健康委员会（本级） </w:t>
      </w:r>
      <w:r>
        <w:rPr>
          <w:rFonts w:hint="eastAsia" w:ascii="仿宋" w:hAnsi="仿宋" w:eastAsia="仿宋" w:cs="仿宋"/>
          <w:kern w:val="2"/>
          <w:sz w:val="32"/>
          <w:szCs w:val="32"/>
          <w:u w:val="none" w:color="auto"/>
          <w:lang w:val="en-US" w:eastAsia="en-US" w:bidi="ar-SA"/>
        </w:rPr>
        <w:t>2025</w:t>
      </w:r>
      <w:r>
        <w:rPr>
          <w:rFonts w:hint="eastAsia" w:ascii="仿宋" w:hAnsi="仿宋" w:eastAsia="仿宋" w:cs="仿宋"/>
          <w:kern w:val="2"/>
          <w:sz w:val="32"/>
          <w:szCs w:val="32"/>
          <w:u w:val="none" w:color="auto"/>
          <w:lang w:val="en-US" w:eastAsia="zh-CN" w:bidi="ar-SA"/>
        </w:rPr>
        <w:t>年度一般公共预算财政拨款支出决算</w:t>
      </w:r>
      <w:r>
        <w:rPr>
          <w:rFonts w:hint="eastAsia" w:ascii="仿宋" w:hAnsi="仿宋" w:eastAsia="仿宋" w:cs="仿宋"/>
          <w:kern w:val="2"/>
          <w:sz w:val="32"/>
          <w:szCs w:val="32"/>
          <w:u w:val="none" w:color="auto"/>
          <w:lang w:val="en-US" w:eastAsia="en-US" w:bidi="ar-SA"/>
        </w:rPr>
        <w:t xml:space="preserve"> 1409.42</w:t>
      </w:r>
      <w:r>
        <w:rPr>
          <w:rFonts w:hint="eastAsia" w:ascii="仿宋" w:hAnsi="仿宋" w:eastAsia="仿宋" w:cs="仿宋"/>
          <w:kern w:val="2"/>
          <w:sz w:val="32"/>
          <w:szCs w:val="32"/>
          <w:u w:val="none" w:color="auto"/>
          <w:lang w:val="en-US" w:eastAsia="zh-CN" w:bidi="ar-SA"/>
        </w:rPr>
        <w:t>万元。与年初预算1997.64万元相比，完成年初预算的</w:t>
      </w:r>
      <w:r>
        <w:rPr>
          <w:rFonts w:hint="eastAsia" w:ascii="仿宋" w:hAnsi="仿宋" w:eastAsia="仿宋" w:cs="仿宋"/>
          <w:kern w:val="2"/>
          <w:sz w:val="32"/>
          <w:szCs w:val="32"/>
          <w:u w:val="none" w:color="auto"/>
          <w:lang w:val="en-US" w:eastAsia="en-US" w:bidi="ar-SA"/>
        </w:rPr>
        <w:t xml:space="preserve"> </w:t>
      </w:r>
      <w:r>
        <w:rPr>
          <w:rFonts w:hint="eastAsia" w:ascii="仿宋" w:hAnsi="仿宋" w:eastAsia="仿宋" w:cs="仿宋"/>
          <w:kern w:val="2"/>
          <w:sz w:val="32"/>
          <w:szCs w:val="32"/>
          <w:u w:val="none" w:color="auto"/>
          <w:lang w:val="en-US" w:eastAsia="zh-CN" w:bidi="ar-SA"/>
        </w:rPr>
        <w:t>70.55</w:t>
      </w:r>
      <w:r>
        <w:rPr>
          <w:rFonts w:hint="eastAsia" w:ascii="仿宋" w:hAnsi="仿宋" w:eastAsia="仿宋" w:cs="仿宋"/>
          <w:kern w:val="2"/>
          <w:sz w:val="32"/>
          <w:szCs w:val="32"/>
          <w:u w:val="none" w:color="auto"/>
          <w:lang w:val="en-US" w:eastAsia="en-US" w:bidi="ar-SA"/>
        </w:rPr>
        <w:t>%</w:t>
      </w:r>
      <w:r>
        <w:rPr>
          <w:rFonts w:hint="eastAsia" w:ascii="仿宋" w:hAnsi="仿宋" w:eastAsia="仿宋" w:cs="仿宋"/>
          <w:kern w:val="2"/>
          <w:sz w:val="32"/>
          <w:szCs w:val="32"/>
          <w:u w:val="none" w:color="auto"/>
          <w:lang w:val="en-US" w:eastAsia="zh-CN" w:bidi="ar-SA"/>
        </w:rPr>
        <w:t>。其中：</w:t>
      </w:r>
    </w:p>
    <w:p w14:paraId="07A8AFC9">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方正楷体_GB2312" w:hAnsi="方正楷体_GB2312" w:eastAsia="方正楷体_GB2312" w:cs="方正楷体_GB2312"/>
          <w:b w:val="0"/>
          <w:bCs w:val="0"/>
          <w:color w:val="auto"/>
          <w:kern w:val="0"/>
          <w:sz w:val="32"/>
          <w:szCs w:val="32"/>
          <w:u w:val="none" w:color="auto"/>
          <w:lang w:eastAsia="en-US"/>
        </w:rPr>
      </w:pPr>
      <w:r>
        <w:rPr>
          <w:rFonts w:hint="eastAsia" w:ascii="方正楷体_GB2312" w:hAnsi="方正楷体_GB2312" w:eastAsia="方正楷体_GB2312" w:cs="方正楷体_GB2312"/>
          <w:b w:val="0"/>
          <w:bCs w:val="0"/>
          <w:color w:val="auto"/>
          <w:kern w:val="0"/>
          <w:sz w:val="32"/>
          <w:szCs w:val="32"/>
          <w:u w:val="none" w:color="auto"/>
          <w:lang w:eastAsia="en-US"/>
        </w:rPr>
        <w:t>（一）一般公共服务（类）</w:t>
      </w:r>
    </w:p>
    <w:p w14:paraId="1EF099C0">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kern w:val="2"/>
          <w:sz w:val="32"/>
          <w:szCs w:val="32"/>
          <w:u w:val="none" w:color="auto"/>
          <w:lang w:val="en-US" w:eastAsia="en-US" w:bidi="ar-SA"/>
        </w:rPr>
      </w:pPr>
      <w:r>
        <w:rPr>
          <w:rFonts w:hint="eastAsia" w:ascii="仿宋" w:hAnsi="仿宋" w:eastAsia="仿宋" w:cs="仿宋"/>
          <w:kern w:val="2"/>
          <w:sz w:val="32"/>
          <w:szCs w:val="32"/>
          <w:u w:val="none" w:color="auto"/>
          <w:lang w:val="en-US" w:eastAsia="en-US" w:bidi="ar-SA"/>
        </w:rPr>
        <w:t>一般公共服务（类）决算数为 17.69万元，与年初预算相比增加 0万元。其中：</w:t>
      </w:r>
    </w:p>
    <w:p w14:paraId="532B47FD">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kern w:val="2"/>
          <w:sz w:val="32"/>
          <w:szCs w:val="32"/>
          <w:u w:val="none" w:color="auto"/>
          <w:lang w:val="en-US" w:eastAsia="en-US" w:bidi="ar-SA"/>
        </w:rPr>
      </w:pPr>
      <w:r>
        <w:rPr>
          <w:rFonts w:hint="eastAsia" w:ascii="仿宋" w:hAnsi="仿宋" w:eastAsia="仿宋" w:cs="仿宋"/>
          <w:kern w:val="2"/>
          <w:sz w:val="32"/>
          <w:szCs w:val="32"/>
          <w:u w:val="none" w:color="auto"/>
          <w:lang w:val="en-US" w:eastAsia="en-US" w:bidi="ar-SA"/>
        </w:rPr>
        <w:t>组织事务（款）一般行政管理事务（项）。年初预算</w:t>
      </w:r>
      <w:r>
        <w:rPr>
          <w:rFonts w:hint="eastAsia" w:ascii="仿宋" w:hAnsi="仿宋" w:eastAsia="仿宋" w:cs="仿宋"/>
          <w:kern w:val="2"/>
          <w:sz w:val="32"/>
          <w:szCs w:val="32"/>
          <w:u w:val="none" w:color="auto"/>
          <w:lang w:val="en-US" w:eastAsia="zh-CN" w:bidi="ar-SA"/>
        </w:rPr>
        <w:t>0</w:t>
      </w:r>
      <w:r>
        <w:rPr>
          <w:rFonts w:hint="eastAsia" w:ascii="仿宋" w:hAnsi="仿宋" w:eastAsia="仿宋" w:cs="仿宋"/>
          <w:kern w:val="2"/>
          <w:sz w:val="32"/>
          <w:szCs w:val="32"/>
          <w:u w:val="none" w:color="auto"/>
          <w:lang w:val="en-US" w:eastAsia="en-US" w:bidi="ar-SA"/>
        </w:rPr>
        <w:t>万元，支出决算</w:t>
      </w:r>
      <w:r>
        <w:rPr>
          <w:rFonts w:hint="eastAsia" w:ascii="仿宋" w:hAnsi="仿宋" w:eastAsia="仿宋" w:cs="仿宋"/>
          <w:kern w:val="2"/>
          <w:sz w:val="32"/>
          <w:szCs w:val="32"/>
          <w:u w:val="none" w:color="auto"/>
          <w:lang w:val="en-US" w:eastAsia="zh-CN" w:bidi="ar-SA"/>
        </w:rPr>
        <w:t>17.69</w:t>
      </w:r>
      <w:r>
        <w:rPr>
          <w:rFonts w:hint="eastAsia" w:ascii="仿宋" w:hAnsi="仿宋" w:eastAsia="仿宋" w:cs="仿宋"/>
          <w:kern w:val="2"/>
          <w:sz w:val="32"/>
          <w:szCs w:val="32"/>
          <w:u w:val="none" w:color="auto"/>
          <w:lang w:val="en-US" w:eastAsia="en-US" w:bidi="ar-SA"/>
        </w:rPr>
        <w:t>万元，完成年初预算的</w:t>
      </w:r>
      <w:r>
        <w:rPr>
          <w:rFonts w:hint="eastAsia" w:ascii="仿宋" w:hAnsi="仿宋" w:eastAsia="仿宋" w:cs="仿宋"/>
          <w:kern w:val="2"/>
          <w:sz w:val="32"/>
          <w:szCs w:val="32"/>
          <w:u w:val="none" w:color="auto"/>
          <w:lang w:val="en-US" w:eastAsia="zh-CN" w:bidi="ar-SA"/>
        </w:rPr>
        <w:t>0</w:t>
      </w:r>
      <w:r>
        <w:rPr>
          <w:rFonts w:hint="eastAsia" w:ascii="仿宋" w:hAnsi="仿宋" w:eastAsia="仿宋" w:cs="仿宋"/>
          <w:kern w:val="2"/>
          <w:sz w:val="32"/>
          <w:szCs w:val="32"/>
          <w:u w:val="none" w:color="auto"/>
          <w:lang w:val="en-US" w:eastAsia="en-US" w:bidi="ar-SA"/>
        </w:rPr>
        <w:t>%。决算数与年初预算数的差异原因：</w:t>
      </w:r>
      <w:r>
        <w:rPr>
          <w:rFonts w:hint="eastAsia" w:ascii="仿宋" w:hAnsi="仿宋" w:eastAsia="仿宋" w:cs="仿宋"/>
          <w:kern w:val="2"/>
          <w:sz w:val="32"/>
          <w:szCs w:val="32"/>
          <w:u w:val="none" w:color="auto"/>
          <w:lang w:val="en-US" w:eastAsia="zh-CN" w:bidi="ar-SA"/>
        </w:rPr>
        <w:t>2024年头雁奖奖励</w:t>
      </w:r>
      <w:r>
        <w:rPr>
          <w:rFonts w:hint="eastAsia" w:ascii="仿宋" w:hAnsi="仿宋" w:eastAsia="仿宋" w:cs="仿宋"/>
          <w:kern w:val="2"/>
          <w:sz w:val="32"/>
          <w:szCs w:val="32"/>
          <w:u w:val="none" w:color="auto"/>
          <w:lang w:val="en-US" w:eastAsia="en-US" w:bidi="ar-SA"/>
        </w:rPr>
        <w:t>。</w:t>
      </w:r>
    </w:p>
    <w:p w14:paraId="65B2DF5D">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方正楷体_GB2312" w:hAnsi="方正楷体_GB2312" w:eastAsia="方正楷体_GB2312" w:cs="方正楷体_GB2312"/>
          <w:b w:val="0"/>
          <w:bCs w:val="0"/>
          <w:color w:val="auto"/>
          <w:kern w:val="0"/>
          <w:sz w:val="32"/>
          <w:szCs w:val="32"/>
          <w:u w:val="none" w:color="auto"/>
          <w:lang w:eastAsia="en-US"/>
        </w:rPr>
      </w:pPr>
      <w:r>
        <w:rPr>
          <w:rFonts w:hint="eastAsia" w:ascii="方正楷体_GB2312" w:hAnsi="方正楷体_GB2312" w:eastAsia="方正楷体_GB2312" w:cs="方正楷体_GB2312"/>
          <w:b w:val="0"/>
          <w:bCs w:val="0"/>
          <w:color w:val="auto"/>
          <w:kern w:val="0"/>
          <w:sz w:val="32"/>
          <w:szCs w:val="32"/>
          <w:u w:val="none" w:color="auto"/>
          <w:lang w:eastAsia="en-US"/>
        </w:rPr>
        <w:t>（</w:t>
      </w:r>
      <w:r>
        <w:rPr>
          <w:rFonts w:hint="eastAsia" w:ascii="方正楷体_GB2312" w:hAnsi="方正楷体_GB2312" w:eastAsia="方正楷体_GB2312" w:cs="方正楷体_GB2312"/>
          <w:b w:val="0"/>
          <w:bCs w:val="0"/>
          <w:color w:val="auto"/>
          <w:kern w:val="0"/>
          <w:sz w:val="32"/>
          <w:szCs w:val="32"/>
          <w:u w:val="none" w:color="auto"/>
          <w:lang w:eastAsia="zh-CN"/>
        </w:rPr>
        <w:t>二</w:t>
      </w:r>
      <w:r>
        <w:rPr>
          <w:rFonts w:hint="eastAsia" w:ascii="方正楷体_GB2312" w:hAnsi="方正楷体_GB2312" w:eastAsia="方正楷体_GB2312" w:cs="方正楷体_GB2312"/>
          <w:b w:val="0"/>
          <w:bCs w:val="0"/>
          <w:color w:val="auto"/>
          <w:kern w:val="0"/>
          <w:sz w:val="32"/>
          <w:szCs w:val="32"/>
          <w:u w:val="none" w:color="auto"/>
          <w:lang w:eastAsia="en-US"/>
        </w:rPr>
        <w:t>）社会保障和就业支出（类）</w:t>
      </w:r>
    </w:p>
    <w:p w14:paraId="715079CE">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kern w:val="2"/>
          <w:sz w:val="32"/>
          <w:szCs w:val="32"/>
          <w:u w:val="none" w:color="auto"/>
          <w:lang w:val="en-US" w:eastAsia="en-US" w:bidi="ar-SA"/>
        </w:rPr>
      </w:pPr>
      <w:r>
        <w:rPr>
          <w:rFonts w:hint="eastAsia" w:ascii="仿宋" w:hAnsi="仿宋" w:eastAsia="仿宋" w:cs="仿宋"/>
          <w:kern w:val="2"/>
          <w:sz w:val="32"/>
          <w:szCs w:val="32"/>
          <w:u w:val="none" w:color="auto"/>
          <w:lang w:val="en-US" w:eastAsia="en-US" w:bidi="ar-SA"/>
        </w:rPr>
        <w:t>社会保障和就业支出（类）决算数为 319.55万元，与年初预算相比增加</w:t>
      </w:r>
      <w:r>
        <w:rPr>
          <w:rFonts w:hint="eastAsia" w:ascii="仿宋" w:hAnsi="仿宋" w:eastAsia="仿宋" w:cs="仿宋"/>
          <w:kern w:val="2"/>
          <w:sz w:val="32"/>
          <w:szCs w:val="32"/>
          <w:u w:val="none" w:color="auto"/>
          <w:lang w:val="en-US" w:eastAsia="zh-CN" w:bidi="ar-SA"/>
        </w:rPr>
        <w:t>171.98</w:t>
      </w:r>
      <w:r>
        <w:rPr>
          <w:rFonts w:hint="eastAsia" w:ascii="仿宋" w:hAnsi="仿宋" w:eastAsia="仿宋" w:cs="仿宋"/>
          <w:kern w:val="2"/>
          <w:sz w:val="32"/>
          <w:szCs w:val="32"/>
          <w:u w:val="none" w:color="auto"/>
          <w:lang w:val="en-US" w:eastAsia="en-US" w:bidi="ar-SA"/>
        </w:rPr>
        <w:t>万元。其中：</w:t>
      </w:r>
    </w:p>
    <w:p w14:paraId="2D3ADA33">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kern w:val="2"/>
          <w:sz w:val="32"/>
          <w:szCs w:val="32"/>
          <w:u w:val="none" w:color="auto"/>
          <w:lang w:val="en-US" w:eastAsia="en-US" w:bidi="ar-SA"/>
        </w:rPr>
      </w:pPr>
      <w:r>
        <w:rPr>
          <w:rFonts w:hint="eastAsia" w:ascii="仿宋" w:hAnsi="仿宋" w:eastAsia="仿宋" w:cs="仿宋"/>
          <w:kern w:val="2"/>
          <w:sz w:val="32"/>
          <w:szCs w:val="32"/>
          <w:u w:val="none" w:color="auto"/>
          <w:lang w:val="en-US" w:eastAsia="zh-CN" w:bidi="ar-SA"/>
        </w:rPr>
        <w:t>1.民政管理事务</w:t>
      </w:r>
      <w:r>
        <w:rPr>
          <w:rFonts w:hint="eastAsia" w:ascii="仿宋" w:hAnsi="仿宋" w:eastAsia="仿宋" w:cs="仿宋"/>
          <w:kern w:val="2"/>
          <w:sz w:val="32"/>
          <w:szCs w:val="32"/>
          <w:u w:val="none" w:color="auto"/>
          <w:lang w:val="en-US" w:eastAsia="en-US" w:bidi="ar-SA"/>
        </w:rPr>
        <w:t>（款）老龄事务（项）</w:t>
      </w:r>
      <w:r>
        <w:rPr>
          <w:rFonts w:hint="eastAsia" w:ascii="仿宋" w:hAnsi="仿宋" w:eastAsia="仿宋" w:cs="仿宋"/>
          <w:kern w:val="2"/>
          <w:sz w:val="32"/>
          <w:szCs w:val="32"/>
          <w:u w:val="none" w:color="auto"/>
          <w:lang w:val="en-US" w:eastAsia="zh-CN" w:bidi="ar-SA"/>
        </w:rPr>
        <w:t>。</w:t>
      </w:r>
      <w:r>
        <w:rPr>
          <w:rFonts w:hint="eastAsia" w:ascii="仿宋" w:hAnsi="仿宋" w:eastAsia="仿宋" w:cs="仿宋"/>
          <w:kern w:val="2"/>
          <w:sz w:val="32"/>
          <w:szCs w:val="32"/>
          <w:u w:val="none" w:color="auto"/>
          <w:lang w:val="en-US" w:eastAsia="en-US" w:bidi="ar-SA"/>
        </w:rPr>
        <w:t>年初预算</w:t>
      </w:r>
      <w:r>
        <w:rPr>
          <w:rFonts w:hint="eastAsia" w:ascii="仿宋" w:hAnsi="仿宋" w:eastAsia="仿宋" w:cs="仿宋"/>
          <w:kern w:val="2"/>
          <w:sz w:val="32"/>
          <w:szCs w:val="32"/>
          <w:u w:val="none" w:color="auto"/>
          <w:lang w:val="en-US" w:eastAsia="zh-CN" w:bidi="ar-SA"/>
        </w:rPr>
        <w:t>0</w:t>
      </w:r>
      <w:r>
        <w:rPr>
          <w:rFonts w:hint="eastAsia" w:ascii="仿宋" w:hAnsi="仿宋" w:eastAsia="仿宋" w:cs="仿宋"/>
          <w:kern w:val="2"/>
          <w:sz w:val="32"/>
          <w:szCs w:val="32"/>
          <w:u w:val="none" w:color="auto"/>
          <w:lang w:val="en-US" w:eastAsia="en-US" w:bidi="ar-SA"/>
        </w:rPr>
        <w:t>万元，支出决算</w:t>
      </w:r>
      <w:r>
        <w:rPr>
          <w:rFonts w:hint="eastAsia" w:ascii="仿宋" w:hAnsi="仿宋" w:eastAsia="仿宋" w:cs="仿宋"/>
          <w:kern w:val="2"/>
          <w:sz w:val="32"/>
          <w:szCs w:val="32"/>
          <w:u w:val="none" w:color="auto"/>
          <w:lang w:val="en-US" w:eastAsia="zh-CN" w:bidi="ar-SA"/>
        </w:rPr>
        <w:t>3.5</w:t>
      </w:r>
      <w:r>
        <w:rPr>
          <w:rFonts w:hint="eastAsia" w:ascii="仿宋" w:hAnsi="仿宋" w:eastAsia="仿宋" w:cs="仿宋"/>
          <w:kern w:val="2"/>
          <w:sz w:val="32"/>
          <w:szCs w:val="32"/>
          <w:u w:val="none" w:color="auto"/>
          <w:lang w:val="en-US" w:eastAsia="en-US" w:bidi="ar-SA"/>
        </w:rPr>
        <w:t>万元，完成年初预算的</w:t>
      </w:r>
      <w:r>
        <w:rPr>
          <w:rFonts w:hint="eastAsia" w:ascii="仿宋" w:hAnsi="仿宋" w:eastAsia="仿宋" w:cs="仿宋"/>
          <w:kern w:val="2"/>
          <w:sz w:val="32"/>
          <w:szCs w:val="32"/>
          <w:u w:val="none" w:color="auto"/>
          <w:lang w:val="en-US" w:eastAsia="zh-CN" w:bidi="ar-SA"/>
        </w:rPr>
        <w:t>0</w:t>
      </w:r>
      <w:r>
        <w:rPr>
          <w:rFonts w:hint="eastAsia" w:ascii="仿宋" w:hAnsi="仿宋" w:eastAsia="仿宋" w:cs="仿宋"/>
          <w:kern w:val="2"/>
          <w:sz w:val="32"/>
          <w:szCs w:val="32"/>
          <w:u w:val="none" w:color="auto"/>
          <w:lang w:val="en-US" w:eastAsia="en-US" w:bidi="ar-SA"/>
        </w:rPr>
        <w:t>%。决算数与年初预算数的差异原因：</w:t>
      </w:r>
      <w:r>
        <w:rPr>
          <w:rFonts w:hint="eastAsia" w:ascii="仿宋" w:hAnsi="仿宋" w:eastAsia="仿宋" w:cs="仿宋"/>
          <w:kern w:val="2"/>
          <w:sz w:val="32"/>
          <w:szCs w:val="32"/>
          <w:u w:val="none" w:color="auto"/>
          <w:lang w:val="en-US" w:eastAsia="zh-CN" w:bidi="ar-SA"/>
        </w:rPr>
        <w:t>实际支出</w:t>
      </w:r>
      <w:r>
        <w:rPr>
          <w:rFonts w:hint="eastAsia" w:ascii="仿宋" w:hAnsi="仿宋" w:eastAsia="仿宋" w:cs="仿宋"/>
          <w:kern w:val="2"/>
          <w:sz w:val="32"/>
          <w:szCs w:val="32"/>
          <w:u w:val="none" w:color="auto"/>
          <w:lang w:val="en-US" w:eastAsia="en-US" w:bidi="ar-SA"/>
        </w:rPr>
        <w:t>。</w:t>
      </w:r>
    </w:p>
    <w:p w14:paraId="6B33167D">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kern w:val="2"/>
          <w:sz w:val="32"/>
          <w:szCs w:val="32"/>
          <w:u w:val="none" w:color="auto"/>
          <w:lang w:val="en-US" w:eastAsia="en-US" w:bidi="ar-SA"/>
        </w:rPr>
      </w:pPr>
      <w:r>
        <w:rPr>
          <w:rFonts w:hint="eastAsia" w:ascii="仿宋" w:hAnsi="仿宋" w:eastAsia="仿宋" w:cs="仿宋"/>
          <w:kern w:val="2"/>
          <w:sz w:val="32"/>
          <w:szCs w:val="32"/>
          <w:u w:val="none" w:color="auto"/>
          <w:lang w:val="en-US" w:eastAsia="zh-CN" w:bidi="ar-SA"/>
        </w:rPr>
        <w:t>2</w:t>
      </w:r>
      <w:r>
        <w:rPr>
          <w:rFonts w:hint="eastAsia" w:ascii="仿宋" w:hAnsi="仿宋" w:eastAsia="仿宋" w:cs="仿宋"/>
          <w:kern w:val="2"/>
          <w:sz w:val="32"/>
          <w:szCs w:val="32"/>
          <w:u w:val="none" w:color="auto"/>
          <w:lang w:val="en-US" w:eastAsia="en-US" w:bidi="ar-SA"/>
        </w:rPr>
        <w:t>．行政事业单位养老支出（款）行政单位离退休（项）。年初预算</w:t>
      </w:r>
      <w:r>
        <w:rPr>
          <w:rFonts w:hint="eastAsia" w:ascii="仿宋" w:hAnsi="仿宋" w:eastAsia="仿宋" w:cs="仿宋"/>
          <w:kern w:val="2"/>
          <w:sz w:val="32"/>
          <w:szCs w:val="32"/>
          <w:u w:val="none" w:color="auto"/>
          <w:lang w:val="en-US" w:eastAsia="zh-CN" w:bidi="ar-SA"/>
        </w:rPr>
        <w:t>99.59</w:t>
      </w:r>
      <w:r>
        <w:rPr>
          <w:rFonts w:hint="eastAsia" w:ascii="仿宋" w:hAnsi="仿宋" w:eastAsia="仿宋" w:cs="仿宋"/>
          <w:kern w:val="2"/>
          <w:sz w:val="32"/>
          <w:szCs w:val="32"/>
          <w:u w:val="none" w:color="auto"/>
          <w:lang w:val="en-US" w:eastAsia="en-US" w:bidi="ar-SA"/>
        </w:rPr>
        <w:t>万元，支出决算</w:t>
      </w:r>
      <w:r>
        <w:rPr>
          <w:rFonts w:hint="eastAsia" w:ascii="仿宋" w:hAnsi="仿宋" w:eastAsia="仿宋" w:cs="仿宋"/>
          <w:kern w:val="2"/>
          <w:sz w:val="32"/>
          <w:szCs w:val="32"/>
          <w:u w:val="none" w:color="auto"/>
          <w:lang w:val="en-US" w:eastAsia="zh-CN" w:bidi="ar-SA"/>
        </w:rPr>
        <w:t>54.48</w:t>
      </w:r>
      <w:r>
        <w:rPr>
          <w:rFonts w:hint="eastAsia" w:ascii="仿宋" w:hAnsi="仿宋" w:eastAsia="仿宋" w:cs="仿宋"/>
          <w:kern w:val="2"/>
          <w:sz w:val="32"/>
          <w:szCs w:val="32"/>
          <w:u w:val="none" w:color="auto"/>
          <w:lang w:val="en-US" w:eastAsia="en-US" w:bidi="ar-SA"/>
        </w:rPr>
        <w:t>万元，完成年初预算的</w:t>
      </w:r>
      <w:r>
        <w:rPr>
          <w:rFonts w:hint="eastAsia" w:ascii="仿宋" w:hAnsi="仿宋" w:eastAsia="仿宋" w:cs="仿宋"/>
          <w:kern w:val="2"/>
          <w:sz w:val="32"/>
          <w:szCs w:val="32"/>
          <w:u w:val="none" w:color="auto"/>
          <w:lang w:val="en-US" w:eastAsia="zh-CN" w:bidi="ar-SA"/>
        </w:rPr>
        <w:t>54.7</w:t>
      </w:r>
      <w:r>
        <w:rPr>
          <w:rFonts w:hint="eastAsia" w:ascii="仿宋" w:hAnsi="仿宋" w:eastAsia="仿宋" w:cs="仿宋"/>
          <w:kern w:val="2"/>
          <w:sz w:val="32"/>
          <w:szCs w:val="32"/>
          <w:u w:val="none" w:color="auto"/>
          <w:lang w:val="en-US" w:eastAsia="en-US" w:bidi="ar-SA"/>
        </w:rPr>
        <w:t>%。决算数与年初预算数的差异原因：</w:t>
      </w:r>
      <w:r>
        <w:rPr>
          <w:rFonts w:hint="eastAsia" w:ascii="仿宋" w:hAnsi="仿宋" w:eastAsia="仿宋" w:cs="仿宋"/>
          <w:kern w:val="2"/>
          <w:sz w:val="32"/>
          <w:szCs w:val="32"/>
          <w:u w:val="none" w:color="auto"/>
          <w:lang w:val="en-US" w:eastAsia="zh-CN" w:bidi="ar-SA"/>
        </w:rPr>
        <w:t>实际支出</w:t>
      </w:r>
      <w:r>
        <w:rPr>
          <w:rFonts w:hint="eastAsia" w:ascii="仿宋" w:hAnsi="仿宋" w:eastAsia="仿宋" w:cs="仿宋"/>
          <w:kern w:val="2"/>
          <w:sz w:val="32"/>
          <w:szCs w:val="32"/>
          <w:u w:val="none" w:color="auto"/>
          <w:lang w:val="en-US" w:eastAsia="en-US" w:bidi="ar-SA"/>
        </w:rPr>
        <w:t>。</w:t>
      </w:r>
    </w:p>
    <w:p w14:paraId="5E7B8FA4">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kern w:val="2"/>
          <w:sz w:val="32"/>
          <w:szCs w:val="32"/>
          <w:u w:val="none" w:color="auto"/>
          <w:lang w:val="en-US" w:eastAsia="en-US" w:bidi="ar-SA"/>
        </w:rPr>
      </w:pPr>
      <w:r>
        <w:rPr>
          <w:rFonts w:hint="eastAsia" w:ascii="仿宋" w:hAnsi="仿宋" w:eastAsia="仿宋" w:cs="仿宋"/>
          <w:kern w:val="2"/>
          <w:sz w:val="32"/>
          <w:szCs w:val="32"/>
          <w:u w:val="none" w:color="auto"/>
          <w:lang w:val="en-US" w:eastAsia="zh-CN" w:bidi="ar-SA"/>
        </w:rPr>
        <w:t>3</w:t>
      </w:r>
      <w:r>
        <w:rPr>
          <w:rFonts w:hint="eastAsia" w:ascii="仿宋" w:hAnsi="仿宋" w:eastAsia="仿宋" w:cs="仿宋"/>
          <w:kern w:val="2"/>
          <w:sz w:val="32"/>
          <w:szCs w:val="32"/>
          <w:u w:val="none" w:color="auto"/>
          <w:lang w:val="en-US" w:eastAsia="en-US" w:bidi="ar-SA"/>
        </w:rPr>
        <w:t>．行政事业单位养老支出（款）机关事业单位基本养老保险缴费支出（项）。年初预算</w:t>
      </w:r>
      <w:r>
        <w:rPr>
          <w:rFonts w:hint="eastAsia" w:ascii="仿宋" w:hAnsi="仿宋" w:eastAsia="仿宋" w:cs="仿宋"/>
          <w:kern w:val="2"/>
          <w:sz w:val="32"/>
          <w:szCs w:val="32"/>
          <w:u w:val="none" w:color="auto"/>
          <w:lang w:val="en-US" w:eastAsia="zh-CN" w:bidi="ar-SA"/>
        </w:rPr>
        <w:t>43.07</w:t>
      </w:r>
      <w:r>
        <w:rPr>
          <w:rFonts w:hint="eastAsia" w:ascii="仿宋" w:hAnsi="仿宋" w:eastAsia="仿宋" w:cs="仿宋"/>
          <w:kern w:val="2"/>
          <w:sz w:val="32"/>
          <w:szCs w:val="32"/>
          <w:u w:val="none" w:color="auto"/>
          <w:lang w:val="en-US" w:eastAsia="en-US" w:bidi="ar-SA"/>
        </w:rPr>
        <w:t>万元，支出决算</w:t>
      </w:r>
      <w:r>
        <w:rPr>
          <w:rFonts w:hint="eastAsia" w:ascii="仿宋" w:hAnsi="仿宋" w:eastAsia="仿宋" w:cs="仿宋"/>
          <w:kern w:val="2"/>
          <w:sz w:val="32"/>
          <w:szCs w:val="32"/>
          <w:u w:val="none" w:color="auto"/>
          <w:lang w:val="en-US" w:eastAsia="zh-CN" w:bidi="ar-SA"/>
        </w:rPr>
        <w:t>41.03</w:t>
      </w:r>
      <w:r>
        <w:rPr>
          <w:rFonts w:hint="eastAsia" w:ascii="仿宋" w:hAnsi="仿宋" w:eastAsia="仿宋" w:cs="仿宋"/>
          <w:kern w:val="2"/>
          <w:sz w:val="32"/>
          <w:szCs w:val="32"/>
          <w:u w:val="none" w:color="auto"/>
          <w:lang w:val="en-US" w:eastAsia="en-US" w:bidi="ar-SA"/>
        </w:rPr>
        <w:t>万元，完成年初预算的</w:t>
      </w:r>
      <w:r>
        <w:rPr>
          <w:rFonts w:hint="eastAsia" w:ascii="仿宋" w:hAnsi="仿宋" w:eastAsia="仿宋" w:cs="仿宋"/>
          <w:kern w:val="2"/>
          <w:sz w:val="32"/>
          <w:szCs w:val="32"/>
          <w:u w:val="none" w:color="auto"/>
          <w:lang w:val="en-US" w:eastAsia="zh-CN" w:bidi="ar-SA"/>
        </w:rPr>
        <w:t>95.26</w:t>
      </w:r>
      <w:r>
        <w:rPr>
          <w:rFonts w:hint="eastAsia" w:ascii="仿宋" w:hAnsi="仿宋" w:eastAsia="仿宋" w:cs="仿宋"/>
          <w:kern w:val="2"/>
          <w:sz w:val="32"/>
          <w:szCs w:val="32"/>
          <w:u w:val="none" w:color="auto"/>
          <w:lang w:val="en-US" w:eastAsia="en-US" w:bidi="ar-SA"/>
        </w:rPr>
        <w:t>%。决算数与年初预算数的差异原因：</w:t>
      </w:r>
      <w:r>
        <w:rPr>
          <w:rFonts w:hint="eastAsia" w:ascii="仿宋" w:hAnsi="仿宋" w:eastAsia="仿宋" w:cs="仿宋"/>
          <w:kern w:val="2"/>
          <w:sz w:val="32"/>
          <w:szCs w:val="32"/>
          <w:u w:val="none" w:color="auto"/>
          <w:lang w:val="en-US" w:eastAsia="zh-CN" w:bidi="ar-SA"/>
        </w:rPr>
        <w:t>实际支出</w:t>
      </w:r>
      <w:r>
        <w:rPr>
          <w:rFonts w:hint="eastAsia" w:ascii="仿宋" w:hAnsi="仿宋" w:eastAsia="仿宋" w:cs="仿宋"/>
          <w:kern w:val="2"/>
          <w:sz w:val="32"/>
          <w:szCs w:val="32"/>
          <w:u w:val="none" w:color="auto"/>
          <w:lang w:val="en-US" w:eastAsia="en-US" w:bidi="ar-SA"/>
        </w:rPr>
        <w:t>。</w:t>
      </w:r>
    </w:p>
    <w:p w14:paraId="663EFEF4">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kern w:val="2"/>
          <w:sz w:val="32"/>
          <w:szCs w:val="32"/>
          <w:u w:val="none" w:color="auto"/>
          <w:lang w:val="en-US" w:eastAsia="en-US" w:bidi="ar-SA"/>
        </w:rPr>
      </w:pPr>
      <w:r>
        <w:rPr>
          <w:rFonts w:hint="eastAsia" w:ascii="仿宋" w:hAnsi="仿宋" w:eastAsia="仿宋" w:cs="仿宋"/>
          <w:kern w:val="2"/>
          <w:sz w:val="32"/>
          <w:szCs w:val="32"/>
          <w:u w:val="none" w:color="auto"/>
          <w:lang w:val="en-US" w:eastAsia="zh-CN" w:bidi="ar-SA"/>
        </w:rPr>
        <w:t>4</w:t>
      </w:r>
      <w:r>
        <w:rPr>
          <w:rFonts w:hint="eastAsia" w:ascii="仿宋" w:hAnsi="仿宋" w:eastAsia="仿宋" w:cs="仿宋"/>
          <w:kern w:val="2"/>
          <w:sz w:val="32"/>
          <w:szCs w:val="32"/>
          <w:u w:val="none" w:color="auto"/>
          <w:lang w:val="en-US" w:eastAsia="en-US" w:bidi="ar-SA"/>
        </w:rPr>
        <w:t>．抚恤（款）死亡抚恤（项）。年初预算</w:t>
      </w:r>
      <w:r>
        <w:rPr>
          <w:rFonts w:hint="eastAsia" w:ascii="仿宋" w:hAnsi="仿宋" w:eastAsia="仿宋" w:cs="仿宋"/>
          <w:kern w:val="2"/>
          <w:sz w:val="32"/>
          <w:szCs w:val="32"/>
          <w:u w:val="none" w:color="auto"/>
          <w:lang w:val="en-US" w:eastAsia="zh-CN" w:bidi="ar-SA"/>
        </w:rPr>
        <w:t>0</w:t>
      </w:r>
      <w:r>
        <w:rPr>
          <w:rFonts w:hint="eastAsia" w:ascii="仿宋" w:hAnsi="仿宋" w:eastAsia="仿宋" w:cs="仿宋"/>
          <w:kern w:val="2"/>
          <w:sz w:val="32"/>
          <w:szCs w:val="32"/>
          <w:u w:val="none" w:color="auto"/>
          <w:lang w:val="en-US" w:eastAsia="en-US" w:bidi="ar-SA"/>
        </w:rPr>
        <w:t>万元，支出决算</w:t>
      </w:r>
      <w:r>
        <w:rPr>
          <w:rFonts w:hint="eastAsia" w:ascii="仿宋" w:hAnsi="仿宋" w:eastAsia="仿宋" w:cs="仿宋"/>
          <w:kern w:val="2"/>
          <w:sz w:val="32"/>
          <w:szCs w:val="32"/>
          <w:u w:val="none" w:color="auto"/>
          <w:lang w:val="en-US" w:eastAsia="zh-CN" w:bidi="ar-SA"/>
        </w:rPr>
        <w:t>210.09</w:t>
      </w:r>
      <w:r>
        <w:rPr>
          <w:rFonts w:hint="eastAsia" w:ascii="仿宋" w:hAnsi="仿宋" w:eastAsia="仿宋" w:cs="仿宋"/>
          <w:kern w:val="2"/>
          <w:sz w:val="32"/>
          <w:szCs w:val="32"/>
          <w:u w:val="none" w:color="auto"/>
          <w:lang w:val="en-US" w:eastAsia="en-US" w:bidi="ar-SA"/>
        </w:rPr>
        <w:t>万元，完成年初预算的</w:t>
      </w:r>
      <w:r>
        <w:rPr>
          <w:rFonts w:hint="eastAsia" w:ascii="仿宋" w:hAnsi="仿宋" w:eastAsia="仿宋" w:cs="仿宋"/>
          <w:kern w:val="2"/>
          <w:sz w:val="32"/>
          <w:szCs w:val="32"/>
          <w:u w:val="none" w:color="auto"/>
          <w:lang w:val="en-US" w:eastAsia="zh-CN" w:bidi="ar-SA"/>
        </w:rPr>
        <w:t>0</w:t>
      </w:r>
      <w:r>
        <w:rPr>
          <w:rFonts w:hint="eastAsia" w:ascii="仿宋" w:hAnsi="仿宋" w:eastAsia="仿宋" w:cs="仿宋"/>
          <w:kern w:val="2"/>
          <w:sz w:val="32"/>
          <w:szCs w:val="32"/>
          <w:u w:val="none" w:color="auto"/>
          <w:lang w:val="en-US" w:eastAsia="en-US" w:bidi="ar-SA"/>
        </w:rPr>
        <w:t>%。决算数与年初预算数的差异原因：</w:t>
      </w:r>
      <w:r>
        <w:rPr>
          <w:rFonts w:hint="eastAsia" w:ascii="仿宋" w:hAnsi="仿宋" w:eastAsia="仿宋" w:cs="仿宋"/>
          <w:kern w:val="2"/>
          <w:sz w:val="32"/>
          <w:szCs w:val="32"/>
          <w:u w:val="none" w:color="auto"/>
          <w:lang w:val="en-US" w:eastAsia="zh-CN" w:bidi="ar-SA"/>
        </w:rPr>
        <w:t>追加预算</w:t>
      </w:r>
      <w:r>
        <w:rPr>
          <w:rFonts w:hint="eastAsia" w:ascii="仿宋" w:hAnsi="仿宋" w:eastAsia="仿宋" w:cs="仿宋"/>
          <w:kern w:val="2"/>
          <w:sz w:val="32"/>
          <w:szCs w:val="32"/>
          <w:u w:val="none" w:color="auto"/>
          <w:lang w:val="en-US" w:eastAsia="en-US" w:bidi="ar-SA"/>
        </w:rPr>
        <w:t>。</w:t>
      </w:r>
    </w:p>
    <w:p w14:paraId="77598AC5">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kern w:val="2"/>
          <w:sz w:val="32"/>
          <w:szCs w:val="32"/>
          <w:u w:val="none" w:color="auto"/>
          <w:lang w:val="en-US" w:eastAsia="en-US" w:bidi="ar-SA"/>
        </w:rPr>
      </w:pPr>
      <w:r>
        <w:rPr>
          <w:rFonts w:hint="eastAsia" w:ascii="仿宋" w:hAnsi="仿宋" w:eastAsia="仿宋" w:cs="仿宋"/>
          <w:kern w:val="2"/>
          <w:sz w:val="32"/>
          <w:szCs w:val="32"/>
          <w:u w:val="none" w:color="auto"/>
          <w:lang w:val="en-US" w:eastAsia="zh-CN" w:bidi="ar-SA"/>
        </w:rPr>
        <w:t>5.</w:t>
      </w:r>
      <w:r>
        <w:rPr>
          <w:rFonts w:hint="eastAsia" w:ascii="仿宋" w:hAnsi="仿宋" w:eastAsia="仿宋" w:cs="仿宋"/>
          <w:kern w:val="2"/>
          <w:sz w:val="32"/>
          <w:szCs w:val="32"/>
          <w:u w:val="none" w:color="auto"/>
          <w:lang w:val="en-US" w:eastAsia="en-US" w:bidi="ar-SA"/>
        </w:rPr>
        <w:t>退役安置（款）军队转业干部安置（项）。年初预算</w:t>
      </w:r>
      <w:r>
        <w:rPr>
          <w:rFonts w:hint="eastAsia" w:ascii="仿宋" w:hAnsi="仿宋" w:eastAsia="仿宋" w:cs="仿宋"/>
          <w:kern w:val="2"/>
          <w:sz w:val="32"/>
          <w:szCs w:val="32"/>
          <w:u w:val="none" w:color="auto"/>
          <w:lang w:val="en-US" w:eastAsia="zh-CN" w:bidi="ar-SA"/>
        </w:rPr>
        <w:t>0</w:t>
      </w:r>
      <w:r>
        <w:rPr>
          <w:rFonts w:hint="eastAsia" w:ascii="仿宋" w:hAnsi="仿宋" w:eastAsia="仿宋" w:cs="仿宋"/>
          <w:kern w:val="2"/>
          <w:sz w:val="32"/>
          <w:szCs w:val="32"/>
          <w:u w:val="none" w:color="auto"/>
          <w:lang w:val="en-US" w:eastAsia="en-US" w:bidi="ar-SA"/>
        </w:rPr>
        <w:t>万元，支出决算</w:t>
      </w:r>
      <w:r>
        <w:rPr>
          <w:rFonts w:hint="eastAsia" w:ascii="仿宋" w:hAnsi="仿宋" w:eastAsia="仿宋" w:cs="仿宋"/>
          <w:kern w:val="2"/>
          <w:sz w:val="32"/>
          <w:szCs w:val="32"/>
          <w:u w:val="none" w:color="auto"/>
          <w:lang w:val="en-US" w:eastAsia="zh-CN" w:bidi="ar-SA"/>
        </w:rPr>
        <w:t>4.92</w:t>
      </w:r>
      <w:r>
        <w:rPr>
          <w:rFonts w:hint="eastAsia" w:ascii="仿宋" w:hAnsi="仿宋" w:eastAsia="仿宋" w:cs="仿宋"/>
          <w:kern w:val="2"/>
          <w:sz w:val="32"/>
          <w:szCs w:val="32"/>
          <w:u w:val="none" w:color="auto"/>
          <w:lang w:val="en-US" w:eastAsia="en-US" w:bidi="ar-SA"/>
        </w:rPr>
        <w:t>万元，完成年初预算的</w:t>
      </w:r>
      <w:r>
        <w:rPr>
          <w:rFonts w:hint="eastAsia" w:ascii="仿宋" w:hAnsi="仿宋" w:eastAsia="仿宋" w:cs="仿宋"/>
          <w:kern w:val="2"/>
          <w:sz w:val="32"/>
          <w:szCs w:val="32"/>
          <w:u w:val="none" w:color="auto"/>
          <w:lang w:val="en-US" w:eastAsia="zh-CN" w:bidi="ar-SA"/>
        </w:rPr>
        <w:t>0</w:t>
      </w:r>
      <w:r>
        <w:rPr>
          <w:rFonts w:hint="eastAsia" w:ascii="仿宋" w:hAnsi="仿宋" w:eastAsia="仿宋" w:cs="仿宋"/>
          <w:kern w:val="2"/>
          <w:sz w:val="32"/>
          <w:szCs w:val="32"/>
          <w:u w:val="none" w:color="auto"/>
          <w:lang w:val="en-US" w:eastAsia="en-US" w:bidi="ar-SA"/>
        </w:rPr>
        <w:t>%。决算数与年初预算数的差异原因：</w:t>
      </w:r>
      <w:r>
        <w:rPr>
          <w:rFonts w:hint="eastAsia" w:ascii="仿宋" w:hAnsi="仿宋" w:eastAsia="仿宋" w:cs="仿宋"/>
          <w:kern w:val="2"/>
          <w:sz w:val="32"/>
          <w:szCs w:val="32"/>
          <w:u w:val="none" w:color="auto"/>
          <w:lang w:val="en-US" w:eastAsia="zh-CN" w:bidi="ar-SA"/>
        </w:rPr>
        <w:t>军转干部安置经费</w:t>
      </w:r>
      <w:r>
        <w:rPr>
          <w:rFonts w:hint="eastAsia" w:ascii="仿宋" w:hAnsi="仿宋" w:eastAsia="仿宋" w:cs="仿宋"/>
          <w:kern w:val="2"/>
          <w:sz w:val="32"/>
          <w:szCs w:val="32"/>
          <w:u w:val="none" w:color="auto"/>
          <w:lang w:val="en-US" w:eastAsia="en-US" w:bidi="ar-SA"/>
        </w:rPr>
        <w:t>。</w:t>
      </w:r>
    </w:p>
    <w:p w14:paraId="1078AFF7">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default" w:ascii="仿宋" w:hAnsi="仿宋" w:eastAsia="仿宋" w:cs="仿宋"/>
          <w:kern w:val="2"/>
          <w:sz w:val="32"/>
          <w:szCs w:val="32"/>
          <w:u w:val="none" w:color="auto"/>
          <w:lang w:val="en-US" w:eastAsia="zh-CN" w:bidi="ar-SA"/>
        </w:rPr>
      </w:pPr>
      <w:r>
        <w:rPr>
          <w:rFonts w:hint="eastAsia" w:ascii="仿宋" w:hAnsi="仿宋" w:eastAsia="仿宋" w:cs="仿宋"/>
          <w:kern w:val="2"/>
          <w:sz w:val="32"/>
          <w:szCs w:val="32"/>
          <w:u w:val="none" w:color="auto"/>
          <w:lang w:val="en-US" w:eastAsia="zh-CN" w:bidi="ar-SA"/>
        </w:rPr>
        <w:t>6.</w:t>
      </w:r>
      <w:r>
        <w:rPr>
          <w:rFonts w:hint="eastAsia" w:ascii="仿宋" w:hAnsi="仿宋" w:eastAsia="仿宋" w:cs="仿宋"/>
          <w:kern w:val="2"/>
          <w:sz w:val="32"/>
          <w:szCs w:val="32"/>
          <w:u w:val="none" w:color="auto"/>
          <w:lang w:val="en-US" w:eastAsia="en-US" w:bidi="ar-SA"/>
        </w:rPr>
        <w:t>其他社会保障和就业支出（款）其他社会保障和就业支出（项）。年初预算</w:t>
      </w:r>
      <w:r>
        <w:rPr>
          <w:rFonts w:hint="eastAsia" w:ascii="仿宋" w:hAnsi="仿宋" w:eastAsia="仿宋" w:cs="仿宋"/>
          <w:kern w:val="2"/>
          <w:sz w:val="32"/>
          <w:szCs w:val="32"/>
          <w:u w:val="none" w:color="auto"/>
          <w:lang w:val="en-US" w:eastAsia="zh-CN" w:bidi="ar-SA"/>
        </w:rPr>
        <w:t>4.9</w:t>
      </w:r>
      <w:r>
        <w:rPr>
          <w:rFonts w:hint="eastAsia" w:ascii="仿宋" w:hAnsi="仿宋" w:eastAsia="仿宋" w:cs="仿宋"/>
          <w:kern w:val="2"/>
          <w:sz w:val="32"/>
          <w:szCs w:val="32"/>
          <w:u w:val="none" w:color="auto"/>
          <w:lang w:val="en-US" w:eastAsia="en-US" w:bidi="ar-SA"/>
        </w:rPr>
        <w:t>万元，支出决算</w:t>
      </w:r>
      <w:r>
        <w:rPr>
          <w:rFonts w:hint="eastAsia" w:ascii="仿宋" w:hAnsi="仿宋" w:eastAsia="仿宋" w:cs="仿宋"/>
          <w:kern w:val="2"/>
          <w:sz w:val="32"/>
          <w:szCs w:val="32"/>
          <w:u w:val="none" w:color="auto"/>
          <w:lang w:val="en-US" w:eastAsia="zh-CN" w:bidi="ar-SA"/>
        </w:rPr>
        <w:t>5.52</w:t>
      </w:r>
      <w:r>
        <w:rPr>
          <w:rFonts w:hint="eastAsia" w:ascii="仿宋" w:hAnsi="仿宋" w:eastAsia="仿宋" w:cs="仿宋"/>
          <w:kern w:val="2"/>
          <w:sz w:val="32"/>
          <w:szCs w:val="32"/>
          <w:u w:val="none" w:color="auto"/>
          <w:lang w:val="en-US" w:eastAsia="en-US" w:bidi="ar-SA"/>
        </w:rPr>
        <w:t>万元，完成年初预算的</w:t>
      </w:r>
      <w:r>
        <w:rPr>
          <w:rFonts w:hint="eastAsia" w:ascii="仿宋" w:hAnsi="仿宋" w:eastAsia="仿宋" w:cs="仿宋"/>
          <w:kern w:val="2"/>
          <w:sz w:val="32"/>
          <w:szCs w:val="32"/>
          <w:u w:val="none" w:color="auto"/>
          <w:lang w:val="en-US" w:eastAsia="zh-CN" w:bidi="ar-SA"/>
        </w:rPr>
        <w:t>112.65</w:t>
      </w:r>
      <w:r>
        <w:rPr>
          <w:rFonts w:hint="eastAsia" w:ascii="仿宋" w:hAnsi="仿宋" w:eastAsia="仿宋" w:cs="仿宋"/>
          <w:kern w:val="2"/>
          <w:sz w:val="32"/>
          <w:szCs w:val="32"/>
          <w:u w:val="none" w:color="auto"/>
          <w:lang w:val="en-US" w:eastAsia="en-US" w:bidi="ar-SA"/>
        </w:rPr>
        <w:t>%。决算数与年初预算数的差异原因：</w:t>
      </w:r>
      <w:r>
        <w:rPr>
          <w:rFonts w:hint="eastAsia" w:ascii="仿宋" w:hAnsi="仿宋" w:eastAsia="仿宋" w:cs="仿宋"/>
          <w:kern w:val="2"/>
          <w:sz w:val="32"/>
          <w:szCs w:val="32"/>
          <w:u w:val="none" w:color="auto"/>
          <w:lang w:val="en-US" w:eastAsia="zh-CN" w:bidi="ar-SA"/>
        </w:rPr>
        <w:t>人员增加</w:t>
      </w:r>
      <w:r>
        <w:rPr>
          <w:rFonts w:hint="eastAsia" w:ascii="仿宋" w:hAnsi="仿宋" w:eastAsia="仿宋" w:cs="仿宋"/>
          <w:kern w:val="2"/>
          <w:sz w:val="32"/>
          <w:szCs w:val="32"/>
          <w:u w:val="none" w:color="auto"/>
          <w:lang w:val="en-US" w:eastAsia="en-US" w:bidi="ar-SA"/>
        </w:rPr>
        <w:t>。</w:t>
      </w:r>
    </w:p>
    <w:p w14:paraId="2AB60287">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方正楷体_GB2312" w:hAnsi="方正楷体_GB2312" w:eastAsia="方正楷体_GB2312" w:cs="方正楷体_GB2312"/>
          <w:b w:val="0"/>
          <w:bCs w:val="0"/>
          <w:color w:val="auto"/>
          <w:kern w:val="0"/>
          <w:sz w:val="32"/>
          <w:szCs w:val="32"/>
          <w:u w:val="none" w:color="auto"/>
          <w:lang w:eastAsia="en-US"/>
        </w:rPr>
      </w:pPr>
      <w:r>
        <w:rPr>
          <w:rFonts w:hint="eastAsia" w:ascii="方正楷体_GB2312" w:hAnsi="方正楷体_GB2312" w:eastAsia="方正楷体_GB2312" w:cs="方正楷体_GB2312"/>
          <w:b w:val="0"/>
          <w:bCs w:val="0"/>
          <w:color w:val="auto"/>
          <w:kern w:val="0"/>
          <w:sz w:val="32"/>
          <w:szCs w:val="32"/>
          <w:u w:val="none" w:color="auto"/>
          <w:lang w:eastAsia="en-US"/>
        </w:rPr>
        <w:t>（</w:t>
      </w:r>
      <w:r>
        <w:rPr>
          <w:rFonts w:hint="eastAsia" w:ascii="方正楷体_GB2312" w:hAnsi="方正楷体_GB2312" w:eastAsia="方正楷体_GB2312" w:cs="方正楷体_GB2312"/>
          <w:b w:val="0"/>
          <w:bCs w:val="0"/>
          <w:color w:val="auto"/>
          <w:kern w:val="0"/>
          <w:sz w:val="32"/>
          <w:szCs w:val="32"/>
          <w:u w:val="none" w:color="auto"/>
          <w:lang w:eastAsia="zh-CN"/>
        </w:rPr>
        <w:t>三</w:t>
      </w:r>
      <w:r>
        <w:rPr>
          <w:rFonts w:hint="eastAsia" w:ascii="方正楷体_GB2312" w:hAnsi="方正楷体_GB2312" w:eastAsia="方正楷体_GB2312" w:cs="方正楷体_GB2312"/>
          <w:b w:val="0"/>
          <w:bCs w:val="0"/>
          <w:color w:val="auto"/>
          <w:kern w:val="0"/>
          <w:sz w:val="32"/>
          <w:szCs w:val="32"/>
          <w:u w:val="none" w:color="auto"/>
          <w:lang w:eastAsia="en-US"/>
        </w:rPr>
        <w:t>）卫生健康支出（类）</w:t>
      </w:r>
    </w:p>
    <w:p w14:paraId="32C5B987">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kern w:val="2"/>
          <w:sz w:val="32"/>
          <w:szCs w:val="32"/>
          <w:u w:val="none" w:color="auto"/>
          <w:lang w:val="en-US" w:eastAsia="en-US" w:bidi="ar-SA"/>
        </w:rPr>
      </w:pPr>
      <w:r>
        <w:rPr>
          <w:rFonts w:hint="eastAsia" w:ascii="仿宋" w:hAnsi="仿宋" w:eastAsia="仿宋" w:cs="仿宋"/>
          <w:kern w:val="2"/>
          <w:sz w:val="32"/>
          <w:szCs w:val="32"/>
          <w:u w:val="none" w:color="auto"/>
          <w:lang w:val="en-US" w:eastAsia="en-US" w:bidi="ar-SA"/>
        </w:rPr>
        <w:t>卫生健康支出（类）决算数为 1024.14万元，与年初预算相比减少</w:t>
      </w:r>
      <w:r>
        <w:rPr>
          <w:rFonts w:hint="eastAsia" w:ascii="仿宋" w:hAnsi="仿宋" w:eastAsia="仿宋" w:cs="仿宋"/>
          <w:kern w:val="2"/>
          <w:sz w:val="32"/>
          <w:szCs w:val="32"/>
          <w:u w:val="none" w:color="auto"/>
          <w:lang w:val="en-US" w:eastAsia="zh-CN" w:bidi="ar-SA"/>
        </w:rPr>
        <w:t>780.34</w:t>
      </w:r>
      <w:r>
        <w:rPr>
          <w:rFonts w:hint="eastAsia" w:ascii="仿宋" w:hAnsi="仿宋" w:eastAsia="仿宋" w:cs="仿宋"/>
          <w:kern w:val="2"/>
          <w:sz w:val="32"/>
          <w:szCs w:val="32"/>
          <w:u w:val="none" w:color="auto"/>
          <w:lang w:val="en-US" w:eastAsia="en-US" w:bidi="ar-SA"/>
        </w:rPr>
        <w:t>万元。其中：</w:t>
      </w:r>
    </w:p>
    <w:p w14:paraId="132EEB19">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kern w:val="2"/>
          <w:sz w:val="32"/>
          <w:szCs w:val="32"/>
          <w:u w:val="none" w:color="auto"/>
          <w:lang w:val="en-US" w:eastAsia="en-US" w:bidi="ar-SA"/>
        </w:rPr>
      </w:pPr>
      <w:r>
        <w:rPr>
          <w:rFonts w:hint="eastAsia" w:ascii="仿宋" w:hAnsi="仿宋" w:eastAsia="仿宋" w:cs="仿宋"/>
          <w:kern w:val="2"/>
          <w:sz w:val="32"/>
          <w:szCs w:val="32"/>
          <w:u w:val="none" w:color="auto"/>
          <w:lang w:val="en-US" w:eastAsia="zh-CN" w:bidi="ar-SA"/>
        </w:rPr>
        <w:t>1.</w:t>
      </w:r>
      <w:r>
        <w:rPr>
          <w:rFonts w:hint="eastAsia" w:ascii="仿宋" w:hAnsi="仿宋" w:eastAsia="仿宋" w:cs="仿宋"/>
          <w:kern w:val="2"/>
          <w:sz w:val="32"/>
          <w:szCs w:val="32"/>
          <w:u w:val="none" w:color="auto"/>
          <w:lang w:val="en-US" w:eastAsia="en-US" w:bidi="ar-SA"/>
        </w:rPr>
        <w:t>卫生健康管理事务（款）行政运行（项）。年初预算</w:t>
      </w:r>
      <w:r>
        <w:rPr>
          <w:rFonts w:hint="eastAsia" w:ascii="仿宋" w:hAnsi="仿宋" w:eastAsia="仿宋" w:cs="仿宋"/>
          <w:kern w:val="2"/>
          <w:sz w:val="32"/>
          <w:szCs w:val="32"/>
          <w:u w:val="none" w:color="auto"/>
          <w:lang w:val="en-US" w:eastAsia="zh-CN" w:bidi="ar-SA"/>
        </w:rPr>
        <w:t>422.07</w:t>
      </w:r>
      <w:r>
        <w:rPr>
          <w:rFonts w:hint="eastAsia" w:ascii="仿宋" w:hAnsi="仿宋" w:eastAsia="仿宋" w:cs="仿宋"/>
          <w:kern w:val="2"/>
          <w:sz w:val="32"/>
          <w:szCs w:val="32"/>
          <w:u w:val="none" w:color="auto"/>
          <w:lang w:val="en-US" w:eastAsia="en-US" w:bidi="ar-SA"/>
        </w:rPr>
        <w:t>万元，支出决算</w:t>
      </w:r>
      <w:r>
        <w:rPr>
          <w:rFonts w:hint="eastAsia" w:ascii="仿宋" w:hAnsi="仿宋" w:eastAsia="仿宋" w:cs="仿宋"/>
          <w:kern w:val="2"/>
          <w:sz w:val="32"/>
          <w:szCs w:val="32"/>
          <w:u w:val="none" w:color="auto"/>
          <w:lang w:val="en-US" w:eastAsia="zh-CN" w:bidi="ar-SA"/>
        </w:rPr>
        <w:t>461.76</w:t>
      </w:r>
      <w:r>
        <w:rPr>
          <w:rFonts w:hint="eastAsia" w:ascii="仿宋" w:hAnsi="仿宋" w:eastAsia="仿宋" w:cs="仿宋"/>
          <w:kern w:val="2"/>
          <w:sz w:val="32"/>
          <w:szCs w:val="32"/>
          <w:u w:val="none" w:color="auto"/>
          <w:lang w:val="en-US" w:eastAsia="en-US" w:bidi="ar-SA"/>
        </w:rPr>
        <w:t>万元，完成年初预算的</w:t>
      </w:r>
      <w:r>
        <w:rPr>
          <w:rFonts w:hint="eastAsia" w:ascii="仿宋" w:hAnsi="仿宋" w:eastAsia="仿宋" w:cs="仿宋"/>
          <w:kern w:val="2"/>
          <w:sz w:val="32"/>
          <w:szCs w:val="32"/>
          <w:u w:val="none" w:color="auto"/>
          <w:lang w:val="en-US" w:eastAsia="zh-CN" w:bidi="ar-SA"/>
        </w:rPr>
        <w:t>109.4</w:t>
      </w:r>
      <w:r>
        <w:rPr>
          <w:rFonts w:hint="eastAsia" w:ascii="仿宋" w:hAnsi="仿宋" w:eastAsia="仿宋" w:cs="仿宋"/>
          <w:kern w:val="2"/>
          <w:sz w:val="32"/>
          <w:szCs w:val="32"/>
          <w:u w:val="none" w:color="auto"/>
          <w:lang w:val="en-US" w:eastAsia="en-US" w:bidi="ar-SA"/>
        </w:rPr>
        <w:t>%。决算数与年初预算数的差异原因：</w:t>
      </w:r>
      <w:r>
        <w:rPr>
          <w:rFonts w:hint="eastAsia" w:ascii="仿宋" w:hAnsi="仿宋" w:eastAsia="仿宋" w:cs="仿宋"/>
          <w:kern w:val="2"/>
          <w:sz w:val="32"/>
          <w:szCs w:val="32"/>
          <w:u w:val="none" w:color="auto"/>
          <w:lang w:val="en-US" w:eastAsia="zh-CN" w:bidi="ar-SA"/>
        </w:rPr>
        <w:t>追加预算</w:t>
      </w:r>
      <w:r>
        <w:rPr>
          <w:rFonts w:hint="eastAsia" w:ascii="仿宋" w:hAnsi="仿宋" w:eastAsia="仿宋" w:cs="仿宋"/>
          <w:kern w:val="2"/>
          <w:sz w:val="32"/>
          <w:szCs w:val="32"/>
          <w:u w:val="none" w:color="auto"/>
          <w:lang w:val="en-US" w:eastAsia="en-US" w:bidi="ar-SA"/>
        </w:rPr>
        <w:t>。</w:t>
      </w:r>
    </w:p>
    <w:p w14:paraId="4C865588">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kern w:val="2"/>
          <w:sz w:val="32"/>
          <w:szCs w:val="32"/>
          <w:u w:val="none" w:color="auto"/>
          <w:lang w:val="en-US" w:eastAsia="en-US" w:bidi="ar-SA"/>
        </w:rPr>
      </w:pPr>
      <w:r>
        <w:rPr>
          <w:rFonts w:hint="eastAsia" w:ascii="仿宋" w:hAnsi="仿宋" w:eastAsia="仿宋" w:cs="仿宋"/>
          <w:kern w:val="2"/>
          <w:sz w:val="32"/>
          <w:szCs w:val="32"/>
          <w:u w:val="none" w:color="auto"/>
          <w:lang w:val="en-US" w:eastAsia="zh-CN" w:bidi="ar-SA"/>
        </w:rPr>
        <w:t>2.</w:t>
      </w:r>
      <w:r>
        <w:rPr>
          <w:rFonts w:hint="eastAsia" w:ascii="仿宋" w:hAnsi="仿宋" w:eastAsia="仿宋" w:cs="仿宋"/>
          <w:kern w:val="2"/>
          <w:sz w:val="32"/>
          <w:szCs w:val="32"/>
          <w:u w:val="none" w:color="auto"/>
          <w:lang w:val="en-US" w:eastAsia="en-US" w:bidi="ar-SA"/>
        </w:rPr>
        <w:t>卫生健康管理事务（款）一般行政管理事务（项）。年初预算</w:t>
      </w:r>
      <w:r>
        <w:rPr>
          <w:rFonts w:hint="eastAsia" w:ascii="仿宋" w:hAnsi="仿宋" w:eastAsia="仿宋" w:cs="仿宋"/>
          <w:kern w:val="2"/>
          <w:sz w:val="32"/>
          <w:szCs w:val="32"/>
          <w:u w:val="none" w:color="auto"/>
          <w:lang w:val="en-US" w:eastAsia="zh-CN" w:bidi="ar-SA"/>
        </w:rPr>
        <w:t>60</w:t>
      </w:r>
      <w:r>
        <w:rPr>
          <w:rFonts w:hint="eastAsia" w:ascii="仿宋" w:hAnsi="仿宋" w:eastAsia="仿宋" w:cs="仿宋"/>
          <w:kern w:val="2"/>
          <w:sz w:val="32"/>
          <w:szCs w:val="32"/>
          <w:u w:val="none" w:color="auto"/>
          <w:lang w:val="en-US" w:eastAsia="en-US" w:bidi="ar-SA"/>
        </w:rPr>
        <w:t>万元，支出决算</w:t>
      </w:r>
      <w:r>
        <w:rPr>
          <w:rFonts w:hint="eastAsia" w:ascii="仿宋" w:hAnsi="仿宋" w:eastAsia="仿宋" w:cs="仿宋"/>
          <w:kern w:val="2"/>
          <w:sz w:val="32"/>
          <w:szCs w:val="32"/>
          <w:u w:val="none" w:color="auto"/>
          <w:lang w:val="en-US" w:eastAsia="zh-CN" w:bidi="ar-SA"/>
        </w:rPr>
        <w:t>41.84</w:t>
      </w:r>
      <w:r>
        <w:rPr>
          <w:rFonts w:hint="eastAsia" w:ascii="仿宋" w:hAnsi="仿宋" w:eastAsia="仿宋" w:cs="仿宋"/>
          <w:kern w:val="2"/>
          <w:sz w:val="32"/>
          <w:szCs w:val="32"/>
          <w:u w:val="none" w:color="auto"/>
          <w:lang w:val="en-US" w:eastAsia="en-US" w:bidi="ar-SA"/>
        </w:rPr>
        <w:t>万元，完成年初预算的</w:t>
      </w:r>
      <w:r>
        <w:rPr>
          <w:rFonts w:hint="eastAsia" w:ascii="仿宋" w:hAnsi="仿宋" w:eastAsia="仿宋" w:cs="仿宋"/>
          <w:kern w:val="2"/>
          <w:sz w:val="32"/>
          <w:szCs w:val="32"/>
          <w:u w:val="none" w:color="auto"/>
          <w:lang w:val="en-US" w:eastAsia="zh-CN" w:bidi="ar-SA"/>
        </w:rPr>
        <w:t>69.73</w:t>
      </w:r>
      <w:r>
        <w:rPr>
          <w:rFonts w:hint="eastAsia" w:ascii="仿宋" w:hAnsi="仿宋" w:eastAsia="仿宋" w:cs="仿宋"/>
          <w:kern w:val="2"/>
          <w:sz w:val="32"/>
          <w:szCs w:val="32"/>
          <w:u w:val="none" w:color="auto"/>
          <w:lang w:val="en-US" w:eastAsia="en-US" w:bidi="ar-SA"/>
        </w:rPr>
        <w:t>%。决算数与年初预算数的差异原因：</w:t>
      </w:r>
      <w:r>
        <w:rPr>
          <w:rFonts w:hint="eastAsia" w:ascii="仿宋" w:hAnsi="仿宋" w:eastAsia="仿宋" w:cs="仿宋"/>
          <w:kern w:val="2"/>
          <w:sz w:val="32"/>
          <w:szCs w:val="32"/>
          <w:u w:val="none" w:color="auto"/>
          <w:lang w:val="en-US" w:eastAsia="zh-CN" w:bidi="ar-SA"/>
        </w:rPr>
        <w:t>实际支出</w:t>
      </w:r>
      <w:r>
        <w:rPr>
          <w:rFonts w:hint="eastAsia" w:ascii="仿宋" w:hAnsi="仿宋" w:eastAsia="仿宋" w:cs="仿宋"/>
          <w:kern w:val="2"/>
          <w:sz w:val="32"/>
          <w:szCs w:val="32"/>
          <w:u w:val="none" w:color="auto"/>
          <w:lang w:val="en-US" w:eastAsia="en-US" w:bidi="ar-SA"/>
        </w:rPr>
        <w:t>。</w:t>
      </w:r>
    </w:p>
    <w:p w14:paraId="213FF61D">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kern w:val="2"/>
          <w:sz w:val="32"/>
          <w:szCs w:val="32"/>
          <w:u w:val="none" w:color="auto"/>
          <w:lang w:val="en-US" w:eastAsia="en-US" w:bidi="ar-SA"/>
        </w:rPr>
      </w:pPr>
      <w:r>
        <w:rPr>
          <w:rFonts w:hint="eastAsia" w:ascii="仿宋" w:hAnsi="仿宋" w:eastAsia="仿宋" w:cs="仿宋"/>
          <w:kern w:val="2"/>
          <w:sz w:val="32"/>
          <w:szCs w:val="32"/>
          <w:u w:val="none" w:color="auto"/>
          <w:lang w:val="en-US" w:eastAsia="zh-CN" w:bidi="ar-SA"/>
        </w:rPr>
        <w:t>3.基层医疗卫生机构</w:t>
      </w:r>
      <w:r>
        <w:rPr>
          <w:rFonts w:hint="eastAsia" w:ascii="仿宋" w:hAnsi="仿宋" w:eastAsia="仿宋" w:cs="仿宋"/>
          <w:kern w:val="2"/>
          <w:sz w:val="32"/>
          <w:szCs w:val="32"/>
          <w:u w:val="none" w:color="auto"/>
          <w:lang w:val="en-US" w:eastAsia="en-US" w:bidi="ar-SA"/>
        </w:rPr>
        <w:t>（款）其他基层医疗卫生机构支出</w:t>
      </w:r>
      <w:r>
        <w:rPr>
          <w:rFonts w:hint="eastAsia" w:ascii="仿宋" w:hAnsi="仿宋" w:eastAsia="仿宋" w:cs="仿宋"/>
          <w:kern w:val="2"/>
          <w:sz w:val="32"/>
          <w:szCs w:val="32"/>
          <w:u w:val="none" w:color="auto"/>
          <w:lang w:val="en-US" w:eastAsia="zh-CN" w:bidi="ar-SA"/>
        </w:rPr>
        <w:t>（项）。年初预算0万元，支出决算7.38万元，完成年初预算的0%。</w:t>
      </w:r>
      <w:r>
        <w:rPr>
          <w:rFonts w:hint="eastAsia" w:ascii="仿宋" w:hAnsi="仿宋" w:eastAsia="仿宋" w:cs="仿宋"/>
          <w:kern w:val="2"/>
          <w:sz w:val="32"/>
          <w:szCs w:val="32"/>
          <w:u w:val="none" w:color="auto"/>
          <w:lang w:val="en-US" w:eastAsia="en-US" w:bidi="ar-SA"/>
        </w:rPr>
        <w:t>决算数与年初预算数的差异原因：</w:t>
      </w:r>
      <w:r>
        <w:rPr>
          <w:rFonts w:hint="eastAsia" w:ascii="仿宋" w:hAnsi="仿宋" w:eastAsia="仿宋" w:cs="仿宋"/>
          <w:kern w:val="2"/>
          <w:sz w:val="32"/>
          <w:szCs w:val="32"/>
          <w:u w:val="none" w:color="auto"/>
          <w:lang w:val="en-US" w:eastAsia="zh-CN" w:bidi="ar-SA"/>
        </w:rPr>
        <w:t>本年度举办基层卫生健康工作高质量发展培训班支出</w:t>
      </w:r>
      <w:r>
        <w:rPr>
          <w:rFonts w:hint="eastAsia" w:ascii="仿宋" w:hAnsi="仿宋" w:eastAsia="仿宋" w:cs="仿宋"/>
          <w:kern w:val="2"/>
          <w:sz w:val="32"/>
          <w:szCs w:val="32"/>
          <w:u w:val="none" w:color="auto"/>
          <w:lang w:val="en-US" w:eastAsia="en-US" w:bidi="ar-SA"/>
        </w:rPr>
        <w:t>。</w:t>
      </w:r>
    </w:p>
    <w:p w14:paraId="24CC66BF">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kern w:val="2"/>
          <w:sz w:val="32"/>
          <w:szCs w:val="32"/>
          <w:u w:val="none" w:color="auto"/>
          <w:lang w:val="en-US" w:eastAsia="en-US" w:bidi="ar-SA"/>
        </w:rPr>
      </w:pPr>
      <w:r>
        <w:rPr>
          <w:rFonts w:hint="eastAsia" w:ascii="仿宋" w:hAnsi="仿宋" w:eastAsia="仿宋" w:cs="仿宋"/>
          <w:kern w:val="2"/>
          <w:sz w:val="32"/>
          <w:szCs w:val="32"/>
          <w:u w:val="none" w:color="auto"/>
          <w:lang w:val="en-US" w:eastAsia="zh-CN" w:bidi="ar-SA"/>
        </w:rPr>
        <w:t>4.</w:t>
      </w:r>
      <w:r>
        <w:rPr>
          <w:rFonts w:hint="eastAsia" w:ascii="仿宋" w:hAnsi="仿宋" w:eastAsia="仿宋" w:cs="仿宋"/>
          <w:kern w:val="2"/>
          <w:sz w:val="32"/>
          <w:szCs w:val="32"/>
          <w:u w:val="none" w:color="auto"/>
          <w:lang w:val="en-US" w:eastAsia="en-US" w:bidi="ar-SA"/>
        </w:rPr>
        <w:t>公共卫生（款）基本公共卫生服务（项）。年初预算</w:t>
      </w:r>
      <w:r>
        <w:rPr>
          <w:rFonts w:hint="eastAsia" w:ascii="仿宋" w:hAnsi="仿宋" w:eastAsia="仿宋" w:cs="仿宋"/>
          <w:kern w:val="2"/>
          <w:sz w:val="32"/>
          <w:szCs w:val="32"/>
          <w:u w:val="none" w:color="auto"/>
          <w:lang w:val="en-US" w:eastAsia="zh-CN" w:bidi="ar-SA"/>
        </w:rPr>
        <w:t>46</w:t>
      </w:r>
      <w:r>
        <w:rPr>
          <w:rFonts w:hint="eastAsia" w:ascii="仿宋" w:hAnsi="仿宋" w:eastAsia="仿宋" w:cs="仿宋"/>
          <w:kern w:val="2"/>
          <w:sz w:val="32"/>
          <w:szCs w:val="32"/>
          <w:u w:val="none" w:color="auto"/>
          <w:lang w:val="en-US" w:eastAsia="en-US" w:bidi="ar-SA"/>
        </w:rPr>
        <w:t>万元，支出决算</w:t>
      </w:r>
      <w:r>
        <w:rPr>
          <w:rFonts w:hint="eastAsia" w:ascii="仿宋" w:hAnsi="仿宋" w:eastAsia="仿宋" w:cs="仿宋"/>
          <w:kern w:val="2"/>
          <w:sz w:val="32"/>
          <w:szCs w:val="32"/>
          <w:u w:val="none" w:color="auto"/>
          <w:lang w:val="en-US" w:eastAsia="zh-CN" w:bidi="ar-SA"/>
        </w:rPr>
        <w:t>233.72</w:t>
      </w:r>
      <w:r>
        <w:rPr>
          <w:rFonts w:hint="eastAsia" w:ascii="仿宋" w:hAnsi="仿宋" w:eastAsia="仿宋" w:cs="仿宋"/>
          <w:kern w:val="2"/>
          <w:sz w:val="32"/>
          <w:szCs w:val="32"/>
          <w:u w:val="none" w:color="auto"/>
          <w:lang w:val="en-US" w:eastAsia="en-US" w:bidi="ar-SA"/>
        </w:rPr>
        <w:t>万元，完成年初预算的</w:t>
      </w:r>
      <w:r>
        <w:rPr>
          <w:rFonts w:hint="eastAsia" w:ascii="仿宋" w:hAnsi="仿宋" w:eastAsia="仿宋" w:cs="仿宋"/>
          <w:kern w:val="2"/>
          <w:sz w:val="32"/>
          <w:szCs w:val="32"/>
          <w:u w:val="none" w:color="auto"/>
          <w:lang w:val="en-US" w:eastAsia="zh-CN" w:bidi="ar-SA"/>
        </w:rPr>
        <w:t>508.09</w:t>
      </w:r>
      <w:r>
        <w:rPr>
          <w:rFonts w:hint="eastAsia" w:ascii="仿宋" w:hAnsi="仿宋" w:eastAsia="仿宋" w:cs="仿宋"/>
          <w:kern w:val="2"/>
          <w:sz w:val="32"/>
          <w:szCs w:val="32"/>
          <w:u w:val="none" w:color="auto"/>
          <w:lang w:val="en-US" w:eastAsia="en-US" w:bidi="ar-SA"/>
        </w:rPr>
        <w:t>%。决算数与年初预算数的差异原因：</w:t>
      </w:r>
      <w:r>
        <w:rPr>
          <w:rFonts w:hint="eastAsia" w:ascii="仿宋" w:hAnsi="仿宋" w:eastAsia="仿宋" w:cs="仿宋"/>
          <w:kern w:val="2"/>
          <w:sz w:val="32"/>
          <w:szCs w:val="32"/>
          <w:u w:val="none" w:color="auto"/>
          <w:lang w:val="en-US" w:eastAsia="zh-CN" w:bidi="ar-SA"/>
        </w:rPr>
        <w:t>决算中包括上级补助资金</w:t>
      </w:r>
      <w:r>
        <w:rPr>
          <w:rFonts w:hint="eastAsia" w:ascii="仿宋" w:hAnsi="仿宋" w:eastAsia="仿宋" w:cs="仿宋"/>
          <w:kern w:val="2"/>
          <w:sz w:val="32"/>
          <w:szCs w:val="32"/>
          <w:u w:val="none" w:color="auto"/>
          <w:lang w:val="en-US" w:eastAsia="en-US" w:bidi="ar-SA"/>
        </w:rPr>
        <w:t>。</w:t>
      </w:r>
    </w:p>
    <w:p w14:paraId="2AFFF04C">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kern w:val="2"/>
          <w:sz w:val="32"/>
          <w:szCs w:val="32"/>
          <w:u w:val="none" w:color="auto"/>
          <w:lang w:val="en-US" w:eastAsia="zh-CN" w:bidi="ar-SA"/>
        </w:rPr>
      </w:pPr>
      <w:r>
        <w:rPr>
          <w:rFonts w:hint="eastAsia" w:ascii="仿宋" w:hAnsi="仿宋" w:eastAsia="仿宋" w:cs="仿宋"/>
          <w:kern w:val="2"/>
          <w:sz w:val="32"/>
          <w:szCs w:val="32"/>
          <w:u w:val="none" w:color="auto"/>
          <w:lang w:val="en-US" w:eastAsia="zh-CN" w:bidi="ar-SA"/>
        </w:rPr>
        <w:t>5.公共卫生（款）重大公共卫生服务（项）。年初预算88.4万元，支出决算89.3万元，完成年初预算的101.02%。决算数与年初预算数的差异原因：决算中包括上级补助资金。</w:t>
      </w:r>
    </w:p>
    <w:p w14:paraId="22633E4B">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kern w:val="2"/>
          <w:sz w:val="32"/>
          <w:szCs w:val="32"/>
          <w:u w:val="none" w:color="auto"/>
          <w:lang w:val="en-US" w:eastAsia="zh-CN" w:bidi="ar-SA"/>
        </w:rPr>
      </w:pPr>
      <w:r>
        <w:rPr>
          <w:rFonts w:hint="eastAsia" w:ascii="仿宋" w:hAnsi="仿宋" w:eastAsia="仿宋" w:cs="仿宋"/>
          <w:kern w:val="2"/>
          <w:sz w:val="32"/>
          <w:szCs w:val="32"/>
          <w:u w:val="none" w:color="auto"/>
          <w:lang w:val="en-US" w:eastAsia="zh-CN" w:bidi="ar-SA"/>
        </w:rPr>
        <w:t>6.计划生育事务（款）其他计划生育事务支出（项）。年初预算55万元，支出决算77.56万元，完成年初预算的141.02%。决算数与年初预算数的差异原因：决算中包括上级补助资金。</w:t>
      </w:r>
    </w:p>
    <w:p w14:paraId="5731BBD5">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kern w:val="2"/>
          <w:sz w:val="32"/>
          <w:szCs w:val="32"/>
          <w:u w:val="none" w:color="auto"/>
          <w:lang w:val="en-US" w:eastAsia="zh-CN" w:bidi="ar-SA"/>
        </w:rPr>
      </w:pPr>
      <w:r>
        <w:rPr>
          <w:rFonts w:hint="eastAsia" w:ascii="仿宋" w:hAnsi="仿宋" w:eastAsia="仿宋" w:cs="仿宋"/>
          <w:kern w:val="2"/>
          <w:sz w:val="32"/>
          <w:szCs w:val="32"/>
          <w:u w:val="none" w:color="auto"/>
          <w:lang w:val="en-US" w:eastAsia="zh-CN" w:bidi="ar-SA"/>
        </w:rPr>
        <w:t>7．行政事业单位医疗（款）行政单位医疗（项）。年初预算23.29万元，支出决算25.51万元，完成年初预算的109.53%。决算数与年初预算数的差异原因：实际支出。</w:t>
      </w:r>
    </w:p>
    <w:p w14:paraId="009B39CA">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kern w:val="2"/>
          <w:sz w:val="32"/>
          <w:szCs w:val="32"/>
          <w:u w:val="none" w:color="auto"/>
          <w:lang w:val="en-US" w:eastAsia="zh-CN" w:bidi="ar-SA"/>
        </w:rPr>
      </w:pPr>
      <w:r>
        <w:rPr>
          <w:rFonts w:hint="eastAsia" w:ascii="仿宋" w:hAnsi="仿宋" w:eastAsia="仿宋" w:cs="仿宋"/>
          <w:kern w:val="2"/>
          <w:sz w:val="32"/>
          <w:szCs w:val="32"/>
          <w:u w:val="none" w:color="auto"/>
          <w:lang w:val="en-US" w:eastAsia="zh-CN" w:bidi="ar-SA"/>
        </w:rPr>
        <w:t>8．行政事业单位医疗（款）公务员医疗补助（项）。年初预算13.72万元，支出决算16.64万元，完成年初预算的100%。决算数与年初预算数的差异原因：实际支出。</w:t>
      </w:r>
    </w:p>
    <w:p w14:paraId="12EDA278">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kern w:val="2"/>
          <w:sz w:val="32"/>
          <w:szCs w:val="32"/>
          <w:u w:val="none" w:color="auto"/>
          <w:lang w:val="en-US" w:eastAsia="zh-CN" w:bidi="ar-SA"/>
        </w:rPr>
      </w:pPr>
      <w:r>
        <w:rPr>
          <w:rFonts w:hint="eastAsia" w:ascii="仿宋" w:hAnsi="仿宋" w:eastAsia="仿宋" w:cs="仿宋"/>
          <w:kern w:val="2"/>
          <w:sz w:val="32"/>
          <w:szCs w:val="32"/>
          <w:u w:val="none" w:color="auto"/>
          <w:lang w:val="en-US" w:eastAsia="zh-CN" w:bidi="ar-SA"/>
        </w:rPr>
        <w:t>9.行政单位医疗（款）其他行政事业单位医疗支出（项）。年初预算95万元，支出决算64.59万元，完成年初预算的71.88%。决算数与年初预算数的差异原因：实际支出。</w:t>
      </w:r>
    </w:p>
    <w:p w14:paraId="3E50B8C0">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kern w:val="2"/>
          <w:sz w:val="32"/>
          <w:szCs w:val="32"/>
          <w:u w:val="none" w:color="auto"/>
          <w:lang w:val="en-US" w:eastAsia="zh-CN" w:bidi="ar-SA"/>
        </w:rPr>
      </w:pPr>
      <w:r>
        <w:rPr>
          <w:rFonts w:hint="eastAsia" w:ascii="仿宋" w:hAnsi="仿宋" w:eastAsia="仿宋" w:cs="仿宋"/>
          <w:kern w:val="2"/>
          <w:sz w:val="32"/>
          <w:szCs w:val="32"/>
          <w:u w:val="none" w:color="auto"/>
          <w:lang w:val="en-US" w:eastAsia="zh-CN" w:bidi="ar-SA"/>
        </w:rPr>
        <w:t>10.中医药事务（款）中医（民族医）药专项（项）。年初预算11万元，支出决算5.83万元，完成年初预算的53%。决算数与年初预算数的差异原因：决算中包括上级补助资金。</w:t>
      </w:r>
    </w:p>
    <w:p w14:paraId="3FDB916F">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方正楷体_GB2312" w:hAnsi="方正楷体_GB2312" w:eastAsia="方正楷体_GB2312" w:cs="方正楷体_GB2312"/>
          <w:b w:val="0"/>
          <w:bCs w:val="0"/>
          <w:color w:val="auto"/>
          <w:kern w:val="0"/>
          <w:sz w:val="32"/>
          <w:szCs w:val="32"/>
          <w:u w:val="none" w:color="auto"/>
          <w:lang w:eastAsia="en-US"/>
        </w:rPr>
      </w:pPr>
      <w:r>
        <w:rPr>
          <w:rFonts w:hint="eastAsia" w:ascii="方正楷体_GB2312" w:hAnsi="方正楷体_GB2312" w:eastAsia="方正楷体_GB2312" w:cs="方正楷体_GB2312"/>
          <w:b w:val="0"/>
          <w:bCs w:val="0"/>
          <w:color w:val="auto"/>
          <w:kern w:val="0"/>
          <w:sz w:val="32"/>
          <w:szCs w:val="32"/>
          <w:u w:val="none" w:color="auto"/>
          <w:lang w:eastAsia="en-US"/>
        </w:rPr>
        <w:t>（</w:t>
      </w:r>
      <w:r>
        <w:rPr>
          <w:rFonts w:hint="eastAsia" w:ascii="方正楷体_GB2312" w:hAnsi="方正楷体_GB2312" w:eastAsia="方正楷体_GB2312" w:cs="方正楷体_GB2312"/>
          <w:b w:val="0"/>
          <w:bCs w:val="0"/>
          <w:color w:val="auto"/>
          <w:kern w:val="0"/>
          <w:sz w:val="32"/>
          <w:szCs w:val="32"/>
          <w:u w:val="none" w:color="auto"/>
          <w:lang w:eastAsia="zh-CN"/>
        </w:rPr>
        <w:t>四</w:t>
      </w:r>
      <w:r>
        <w:rPr>
          <w:rFonts w:hint="eastAsia" w:ascii="方正楷体_GB2312" w:hAnsi="方正楷体_GB2312" w:eastAsia="方正楷体_GB2312" w:cs="方正楷体_GB2312"/>
          <w:b w:val="0"/>
          <w:bCs w:val="0"/>
          <w:color w:val="auto"/>
          <w:kern w:val="0"/>
          <w:sz w:val="32"/>
          <w:szCs w:val="32"/>
          <w:u w:val="none" w:color="auto"/>
          <w:lang w:eastAsia="en-US"/>
        </w:rPr>
        <w:t>）住房保障支出（类）</w:t>
      </w:r>
    </w:p>
    <w:p w14:paraId="1D0D0755">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kern w:val="2"/>
          <w:sz w:val="32"/>
          <w:szCs w:val="32"/>
          <w:u w:val="none" w:color="auto"/>
          <w:lang w:val="en-US" w:eastAsia="zh-CN" w:bidi="ar-SA"/>
        </w:rPr>
      </w:pPr>
      <w:r>
        <w:rPr>
          <w:rFonts w:hint="eastAsia" w:ascii="仿宋" w:hAnsi="仿宋" w:eastAsia="仿宋" w:cs="仿宋"/>
          <w:kern w:val="2"/>
          <w:sz w:val="32"/>
          <w:szCs w:val="32"/>
          <w:u w:val="none" w:color="auto"/>
          <w:lang w:val="en-US" w:eastAsia="zh-CN" w:bidi="ar-SA"/>
        </w:rPr>
        <w:t>住房保障支出（类）决算数为</w:t>
      </w:r>
      <w:r>
        <w:rPr>
          <w:rFonts w:hint="eastAsia" w:ascii="仿宋" w:hAnsi="仿宋" w:eastAsia="仿宋" w:cs="仿宋"/>
          <w:kern w:val="2"/>
          <w:sz w:val="32"/>
          <w:szCs w:val="32"/>
          <w:u w:val="none" w:color="auto"/>
          <w:lang w:val="en-US" w:eastAsia="en-US" w:bidi="ar-SA"/>
        </w:rPr>
        <w:t xml:space="preserve"> 48.04</w:t>
      </w:r>
      <w:r>
        <w:rPr>
          <w:rFonts w:hint="eastAsia" w:ascii="仿宋" w:hAnsi="仿宋" w:eastAsia="仿宋" w:cs="仿宋"/>
          <w:kern w:val="2"/>
          <w:sz w:val="32"/>
          <w:szCs w:val="32"/>
          <w:u w:val="none" w:color="auto"/>
          <w:lang w:val="en-US" w:eastAsia="zh-CN" w:bidi="ar-SA"/>
        </w:rPr>
        <w:t>万元，与年初预算相比增加2.45万元。其中：</w:t>
      </w:r>
    </w:p>
    <w:p w14:paraId="2A605B28">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kern w:val="2"/>
          <w:sz w:val="32"/>
          <w:szCs w:val="32"/>
          <w:u w:val="none" w:color="auto"/>
          <w:lang w:val="en-US" w:eastAsia="zh-CN" w:bidi="ar-SA"/>
        </w:rPr>
      </w:pPr>
      <w:r>
        <w:rPr>
          <w:rFonts w:hint="eastAsia" w:ascii="仿宋" w:hAnsi="仿宋" w:eastAsia="仿宋" w:cs="仿宋"/>
          <w:kern w:val="2"/>
          <w:sz w:val="32"/>
          <w:szCs w:val="32"/>
          <w:u w:val="none" w:color="auto"/>
          <w:lang w:val="en-US" w:eastAsia="en-US" w:bidi="ar-SA"/>
        </w:rPr>
        <w:t>1</w:t>
      </w:r>
      <w:r>
        <w:rPr>
          <w:rFonts w:hint="eastAsia" w:ascii="仿宋" w:hAnsi="仿宋" w:eastAsia="仿宋" w:cs="仿宋"/>
          <w:kern w:val="2"/>
          <w:sz w:val="32"/>
          <w:szCs w:val="32"/>
          <w:u w:val="none" w:color="auto"/>
          <w:lang w:val="en-US" w:eastAsia="zh-CN" w:bidi="ar-SA"/>
        </w:rPr>
        <w:t>．住房改革支出（款）住房公积金（项）。年初预算45.59万元，支出决算48.04万元，完成年初预算的105.37</w:t>
      </w:r>
      <w:r>
        <w:rPr>
          <w:rFonts w:hint="eastAsia" w:ascii="仿宋" w:hAnsi="仿宋" w:eastAsia="仿宋" w:cs="仿宋"/>
          <w:kern w:val="2"/>
          <w:sz w:val="32"/>
          <w:szCs w:val="32"/>
          <w:u w:val="none" w:color="auto"/>
          <w:lang w:val="en-US" w:eastAsia="en-US" w:bidi="ar-SA"/>
        </w:rPr>
        <w:t>%</w:t>
      </w:r>
      <w:r>
        <w:rPr>
          <w:rFonts w:hint="eastAsia" w:ascii="仿宋" w:hAnsi="仿宋" w:eastAsia="仿宋" w:cs="仿宋"/>
          <w:kern w:val="2"/>
          <w:sz w:val="32"/>
          <w:szCs w:val="32"/>
          <w:u w:val="none" w:color="auto"/>
          <w:lang w:val="en-US" w:eastAsia="zh-CN" w:bidi="ar-SA"/>
        </w:rPr>
        <w:t>。决算数与年初预算数的差异原因：实际支出。</w:t>
      </w:r>
    </w:p>
    <w:p w14:paraId="78759245">
      <w:pPr>
        <w:pStyle w:val="29"/>
        <w:keepNext w:val="0"/>
        <w:keepLines w:val="0"/>
        <w:pageBreakBefore w:val="0"/>
        <w:widowControl/>
        <w:kinsoku/>
        <w:wordWrap/>
        <w:overflowPunct/>
        <w:topLinePunct w:val="0"/>
        <w:autoSpaceDE/>
        <w:autoSpaceDN/>
        <w:bidi w:val="0"/>
        <w:adjustRightInd/>
        <w:snapToGrid/>
        <w:spacing w:line="560" w:lineRule="exact"/>
        <w:ind w:firstLine="643"/>
        <w:jc w:val="left"/>
        <w:textAlignment w:val="auto"/>
        <w:rPr>
          <w:rFonts w:ascii="Times New Roman" w:hAnsi="Times New Roman" w:eastAsia="Times New Roman" w:cs="Times New Roman"/>
          <w:kern w:val="0"/>
          <w:sz w:val="24"/>
          <w:u w:val="none" w:color="auto"/>
        </w:rPr>
      </w:pPr>
      <w:r>
        <w:rPr>
          <w:rFonts w:ascii="黑体" w:hAnsi="黑体" w:eastAsia="黑体" w:cs="黑体"/>
          <w:b/>
          <w:bCs/>
          <w:kern w:val="0"/>
          <w:sz w:val="32"/>
          <w:szCs w:val="32"/>
          <w:u w:val="none" w:color="auto"/>
        </w:rPr>
        <w:t>六、一般公共预算财政拨款基本支出决算情况说明</w:t>
      </w:r>
    </w:p>
    <w:p w14:paraId="770B4082">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kern w:val="2"/>
          <w:sz w:val="32"/>
          <w:szCs w:val="32"/>
          <w:u w:val="none" w:color="auto"/>
          <w:lang w:val="en-US" w:eastAsia="en-US" w:bidi="ar-SA"/>
        </w:rPr>
      </w:pPr>
      <w:r>
        <w:rPr>
          <w:rFonts w:hint="eastAsia" w:ascii="仿宋" w:hAnsi="仿宋" w:eastAsia="仿宋" w:cs="仿宋"/>
          <w:kern w:val="2"/>
          <w:sz w:val="32"/>
          <w:szCs w:val="32"/>
          <w:u w:val="none" w:color="auto"/>
          <w:lang w:val="en-US" w:eastAsia="en-US" w:bidi="ar-SA"/>
        </w:rPr>
        <w:t>内蒙古自治区巴彦淖尔市卫生健康委员会（本级） 2025年度一般公共预算财政拨款基本支出决算 863.08万元，其中：</w:t>
      </w:r>
    </w:p>
    <w:p w14:paraId="6CCEABBB">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kern w:val="2"/>
          <w:sz w:val="32"/>
          <w:szCs w:val="32"/>
          <w:u w:val="none" w:color="auto"/>
          <w:lang w:val="en-US" w:eastAsia="en-US" w:bidi="ar-SA"/>
        </w:rPr>
      </w:pPr>
      <w:r>
        <w:rPr>
          <w:rFonts w:hint="eastAsia" w:ascii="方正楷体_GB2312" w:hAnsi="方正楷体_GB2312" w:eastAsia="方正楷体_GB2312" w:cs="方正楷体_GB2312"/>
          <w:b w:val="0"/>
          <w:bCs w:val="0"/>
          <w:color w:val="auto"/>
          <w:kern w:val="0"/>
          <w:sz w:val="32"/>
          <w:szCs w:val="32"/>
          <w:u w:val="none" w:color="auto"/>
          <w:lang w:val="en-US" w:eastAsia="en-US" w:bidi="ar-SA"/>
        </w:rPr>
        <w:t>（一）人员经费 793.18万元。</w:t>
      </w:r>
      <w:r>
        <w:rPr>
          <w:rFonts w:hint="eastAsia" w:ascii="仿宋" w:hAnsi="仿宋" w:eastAsia="仿宋" w:cs="仿宋"/>
          <w:kern w:val="2"/>
          <w:sz w:val="32"/>
          <w:szCs w:val="32"/>
          <w:u w:val="none" w:color="auto"/>
          <w:lang w:val="en-US" w:eastAsia="en-US" w:bidi="ar-SA"/>
        </w:rPr>
        <w:t>主要包括：基本工资</w:t>
      </w:r>
      <w:r>
        <w:rPr>
          <w:rFonts w:hint="eastAsia" w:ascii="仿宋" w:hAnsi="仿宋" w:eastAsia="仿宋" w:cs="仿宋"/>
          <w:kern w:val="2"/>
          <w:sz w:val="32"/>
          <w:szCs w:val="32"/>
          <w:u w:val="none" w:color="auto"/>
          <w:lang w:val="en-US" w:eastAsia="zh-CN" w:bidi="ar-SA"/>
        </w:rPr>
        <w:t>186.39万元</w:t>
      </w:r>
      <w:r>
        <w:rPr>
          <w:rFonts w:hint="eastAsia" w:ascii="仿宋" w:hAnsi="仿宋" w:eastAsia="仿宋" w:cs="仿宋"/>
          <w:kern w:val="2"/>
          <w:sz w:val="32"/>
          <w:szCs w:val="32"/>
          <w:u w:val="none" w:color="auto"/>
          <w:lang w:val="en-US" w:eastAsia="en-US" w:bidi="ar-SA"/>
        </w:rPr>
        <w:t>、津贴补贴</w:t>
      </w:r>
      <w:r>
        <w:rPr>
          <w:rFonts w:hint="eastAsia" w:ascii="仿宋" w:hAnsi="仿宋" w:eastAsia="仿宋" w:cs="仿宋"/>
          <w:kern w:val="2"/>
          <w:sz w:val="32"/>
          <w:szCs w:val="32"/>
          <w:u w:val="none" w:color="auto"/>
          <w:lang w:val="en-US" w:eastAsia="zh-CN" w:bidi="ar-SA"/>
        </w:rPr>
        <w:t>197.57万元</w:t>
      </w:r>
      <w:r>
        <w:rPr>
          <w:rFonts w:hint="eastAsia" w:ascii="仿宋" w:hAnsi="仿宋" w:eastAsia="仿宋" w:cs="仿宋"/>
          <w:kern w:val="2"/>
          <w:sz w:val="32"/>
          <w:szCs w:val="32"/>
          <w:u w:val="none" w:color="auto"/>
          <w:lang w:val="en-US" w:eastAsia="en-US" w:bidi="ar-SA"/>
        </w:rPr>
        <w:t>、绩效工资</w:t>
      </w:r>
      <w:r>
        <w:rPr>
          <w:rFonts w:hint="eastAsia" w:ascii="仿宋" w:hAnsi="仿宋" w:eastAsia="仿宋" w:cs="仿宋"/>
          <w:kern w:val="2"/>
          <w:sz w:val="32"/>
          <w:szCs w:val="32"/>
          <w:u w:val="none" w:color="auto"/>
          <w:lang w:val="en-US" w:eastAsia="zh-CN" w:bidi="ar-SA"/>
        </w:rPr>
        <w:t>3.42万元</w:t>
      </w:r>
      <w:r>
        <w:rPr>
          <w:rFonts w:hint="eastAsia" w:ascii="仿宋" w:hAnsi="仿宋" w:eastAsia="仿宋" w:cs="仿宋"/>
          <w:kern w:val="2"/>
          <w:sz w:val="32"/>
          <w:szCs w:val="32"/>
          <w:u w:val="none" w:color="auto"/>
          <w:lang w:val="en-US" w:eastAsia="en-US" w:bidi="ar-SA"/>
        </w:rPr>
        <w:t>、机关事业单位基本养老保险缴费</w:t>
      </w:r>
      <w:r>
        <w:rPr>
          <w:rFonts w:hint="eastAsia" w:ascii="仿宋" w:hAnsi="仿宋" w:eastAsia="仿宋" w:cs="仿宋"/>
          <w:kern w:val="2"/>
          <w:sz w:val="32"/>
          <w:szCs w:val="32"/>
          <w:u w:val="none" w:color="auto"/>
          <w:lang w:val="en-US" w:eastAsia="zh-CN" w:bidi="ar-SA"/>
        </w:rPr>
        <w:t>41.03万元</w:t>
      </w:r>
      <w:r>
        <w:rPr>
          <w:rFonts w:hint="eastAsia" w:ascii="仿宋" w:hAnsi="仿宋" w:eastAsia="仿宋" w:cs="仿宋"/>
          <w:kern w:val="2"/>
          <w:sz w:val="32"/>
          <w:szCs w:val="32"/>
          <w:u w:val="none" w:color="auto"/>
          <w:lang w:val="en-US" w:eastAsia="en-US" w:bidi="ar-SA"/>
        </w:rPr>
        <w:t>、职工基本医疗保险缴费</w:t>
      </w:r>
      <w:r>
        <w:rPr>
          <w:rFonts w:hint="eastAsia" w:ascii="仿宋" w:hAnsi="仿宋" w:eastAsia="仿宋" w:cs="仿宋"/>
          <w:kern w:val="2"/>
          <w:sz w:val="32"/>
          <w:szCs w:val="32"/>
          <w:u w:val="none" w:color="auto"/>
          <w:lang w:val="en-US" w:eastAsia="zh-CN" w:bidi="ar-SA"/>
        </w:rPr>
        <w:t>25.51万元</w:t>
      </w:r>
      <w:r>
        <w:rPr>
          <w:rFonts w:hint="eastAsia" w:ascii="仿宋" w:hAnsi="仿宋" w:eastAsia="仿宋" w:cs="仿宋"/>
          <w:kern w:val="2"/>
          <w:sz w:val="32"/>
          <w:szCs w:val="32"/>
          <w:u w:val="none" w:color="auto"/>
          <w:lang w:val="en-US" w:eastAsia="en-US" w:bidi="ar-SA"/>
        </w:rPr>
        <w:t>、公务员医疗补助缴费</w:t>
      </w:r>
      <w:r>
        <w:rPr>
          <w:rFonts w:hint="eastAsia" w:ascii="仿宋" w:hAnsi="仿宋" w:eastAsia="仿宋" w:cs="仿宋"/>
          <w:kern w:val="2"/>
          <w:sz w:val="32"/>
          <w:szCs w:val="32"/>
          <w:u w:val="none" w:color="auto"/>
          <w:lang w:val="en-US" w:eastAsia="zh-CN" w:bidi="ar-SA"/>
        </w:rPr>
        <w:t>16.64万元</w:t>
      </w:r>
      <w:r>
        <w:rPr>
          <w:rFonts w:hint="eastAsia" w:ascii="仿宋" w:hAnsi="仿宋" w:eastAsia="仿宋" w:cs="仿宋"/>
          <w:kern w:val="2"/>
          <w:sz w:val="32"/>
          <w:szCs w:val="32"/>
          <w:u w:val="none" w:color="auto"/>
          <w:lang w:val="en-US" w:eastAsia="en-US" w:bidi="ar-SA"/>
        </w:rPr>
        <w:t>、住房公积金</w:t>
      </w:r>
      <w:r>
        <w:rPr>
          <w:rFonts w:hint="eastAsia" w:ascii="仿宋" w:hAnsi="仿宋" w:eastAsia="仿宋" w:cs="仿宋"/>
          <w:kern w:val="2"/>
          <w:sz w:val="32"/>
          <w:szCs w:val="32"/>
          <w:u w:val="none" w:color="auto"/>
          <w:lang w:val="en-US" w:eastAsia="zh-CN" w:bidi="ar-SA"/>
        </w:rPr>
        <w:t>48.04万元</w:t>
      </w:r>
      <w:r>
        <w:rPr>
          <w:rFonts w:hint="eastAsia" w:ascii="仿宋" w:hAnsi="仿宋" w:eastAsia="仿宋" w:cs="仿宋"/>
          <w:kern w:val="2"/>
          <w:sz w:val="32"/>
          <w:szCs w:val="32"/>
          <w:u w:val="none" w:color="auto"/>
          <w:lang w:val="en-US" w:eastAsia="en-US" w:bidi="ar-SA"/>
        </w:rPr>
        <w:t>、离休费</w:t>
      </w:r>
      <w:r>
        <w:rPr>
          <w:rFonts w:hint="eastAsia" w:ascii="仿宋" w:hAnsi="仿宋" w:eastAsia="仿宋" w:cs="仿宋"/>
          <w:kern w:val="2"/>
          <w:sz w:val="32"/>
          <w:szCs w:val="32"/>
          <w:u w:val="none" w:color="auto"/>
          <w:lang w:val="en-US" w:eastAsia="zh-CN" w:bidi="ar-SA"/>
        </w:rPr>
        <w:t>6.66万元</w:t>
      </w:r>
      <w:r>
        <w:rPr>
          <w:rFonts w:hint="eastAsia" w:ascii="仿宋" w:hAnsi="仿宋" w:eastAsia="仿宋" w:cs="仿宋"/>
          <w:kern w:val="2"/>
          <w:sz w:val="32"/>
          <w:szCs w:val="32"/>
          <w:u w:val="none" w:color="auto"/>
          <w:lang w:val="en-US" w:eastAsia="en-US" w:bidi="ar-SA"/>
        </w:rPr>
        <w:t>、退休费</w:t>
      </w:r>
      <w:r>
        <w:rPr>
          <w:rFonts w:hint="eastAsia" w:ascii="仿宋" w:hAnsi="仿宋" w:eastAsia="仿宋" w:cs="仿宋"/>
          <w:kern w:val="2"/>
          <w:sz w:val="32"/>
          <w:szCs w:val="32"/>
          <w:u w:val="none" w:color="auto"/>
          <w:lang w:val="en-US" w:eastAsia="zh-CN" w:bidi="ar-SA"/>
        </w:rPr>
        <w:t>47.82万元</w:t>
      </w:r>
      <w:r>
        <w:rPr>
          <w:rFonts w:hint="eastAsia" w:ascii="仿宋" w:hAnsi="仿宋" w:eastAsia="仿宋" w:cs="仿宋"/>
          <w:kern w:val="2"/>
          <w:sz w:val="32"/>
          <w:szCs w:val="32"/>
          <w:u w:val="none" w:color="auto"/>
          <w:lang w:val="en-US" w:eastAsia="en-US" w:bidi="ar-SA"/>
        </w:rPr>
        <w:t>、抚恤金</w:t>
      </w:r>
      <w:r>
        <w:rPr>
          <w:rFonts w:hint="eastAsia" w:ascii="仿宋" w:hAnsi="仿宋" w:eastAsia="仿宋" w:cs="仿宋"/>
          <w:kern w:val="2"/>
          <w:sz w:val="32"/>
          <w:szCs w:val="32"/>
          <w:u w:val="none" w:color="auto"/>
          <w:lang w:val="en-US" w:eastAsia="zh-CN" w:bidi="ar-SA"/>
        </w:rPr>
        <w:t>210.09万元</w:t>
      </w:r>
      <w:r>
        <w:rPr>
          <w:rFonts w:hint="eastAsia" w:ascii="仿宋" w:hAnsi="仿宋" w:eastAsia="仿宋" w:cs="仿宋"/>
          <w:kern w:val="2"/>
          <w:sz w:val="32"/>
          <w:szCs w:val="32"/>
          <w:u w:val="none" w:color="auto"/>
          <w:lang w:val="en-US" w:eastAsia="en-US" w:bidi="ar-SA"/>
        </w:rPr>
        <w:t>、生活补助</w:t>
      </w:r>
      <w:r>
        <w:rPr>
          <w:rFonts w:hint="eastAsia" w:ascii="仿宋" w:hAnsi="仿宋" w:eastAsia="仿宋" w:cs="仿宋"/>
          <w:kern w:val="2"/>
          <w:sz w:val="32"/>
          <w:szCs w:val="32"/>
          <w:u w:val="none" w:color="auto"/>
          <w:lang w:val="en-US" w:eastAsia="zh-CN" w:bidi="ar-SA"/>
        </w:rPr>
        <w:t>3.5万元</w:t>
      </w:r>
      <w:r>
        <w:rPr>
          <w:rFonts w:hint="eastAsia" w:ascii="仿宋" w:hAnsi="仿宋" w:eastAsia="仿宋" w:cs="仿宋"/>
          <w:kern w:val="2"/>
          <w:sz w:val="32"/>
          <w:szCs w:val="32"/>
          <w:u w:val="none" w:color="auto"/>
          <w:lang w:val="en-US" w:eastAsia="en-US" w:bidi="ar-SA"/>
        </w:rPr>
        <w:t>、医疗费补助</w:t>
      </w:r>
      <w:r>
        <w:rPr>
          <w:rFonts w:hint="eastAsia" w:ascii="仿宋" w:hAnsi="仿宋" w:eastAsia="仿宋" w:cs="仿宋"/>
          <w:kern w:val="2"/>
          <w:sz w:val="32"/>
          <w:szCs w:val="32"/>
          <w:u w:val="none" w:color="auto"/>
          <w:lang w:val="en-US" w:eastAsia="zh-CN" w:bidi="ar-SA"/>
        </w:rPr>
        <w:t>0.98万元</w:t>
      </w:r>
      <w:r>
        <w:rPr>
          <w:rFonts w:hint="eastAsia" w:ascii="仿宋" w:hAnsi="仿宋" w:eastAsia="仿宋" w:cs="仿宋"/>
          <w:kern w:val="2"/>
          <w:sz w:val="32"/>
          <w:szCs w:val="32"/>
          <w:u w:val="none" w:color="auto"/>
          <w:lang w:val="en-US" w:eastAsia="en-US" w:bidi="ar-SA"/>
        </w:rPr>
        <w:t>。</w:t>
      </w:r>
    </w:p>
    <w:p w14:paraId="1BF1EB2F">
      <w:pPr>
        <w:pStyle w:val="29"/>
        <w:keepNext w:val="0"/>
        <w:keepLines w:val="0"/>
        <w:pageBreakBefore w:val="0"/>
        <w:widowControl/>
        <w:kinsoku/>
        <w:wordWrap/>
        <w:overflowPunct/>
        <w:topLinePunct w:val="0"/>
        <w:autoSpaceDE/>
        <w:autoSpaceDN/>
        <w:bidi w:val="0"/>
        <w:adjustRightInd/>
        <w:snapToGrid/>
        <w:spacing w:line="560" w:lineRule="exact"/>
        <w:ind w:firstLine="640"/>
        <w:jc w:val="left"/>
        <w:textAlignment w:val="auto"/>
        <w:rPr>
          <w:rFonts w:ascii="FangSong_GB2312" w:hAnsi="FangSong_GB2312" w:eastAsia="FangSong_GB2312" w:cs="FangSong_GB2312"/>
          <w:kern w:val="0"/>
          <w:sz w:val="32"/>
          <w:szCs w:val="32"/>
          <w:u w:val="none" w:color="auto"/>
        </w:rPr>
      </w:pPr>
      <w:r>
        <w:rPr>
          <w:rFonts w:hint="eastAsia" w:ascii="方正楷体_GB2312" w:hAnsi="方正楷体_GB2312" w:eastAsia="方正楷体_GB2312" w:cs="方正楷体_GB2312"/>
          <w:b w:val="0"/>
          <w:bCs w:val="0"/>
          <w:color w:val="auto"/>
          <w:kern w:val="0"/>
          <w:sz w:val="32"/>
          <w:szCs w:val="32"/>
          <w:u w:val="none" w:color="auto"/>
          <w:lang w:val="en-US" w:eastAsia="en-US" w:bidi="ar-SA"/>
        </w:rPr>
        <w:t>（二）公用经费 69.90万元。</w:t>
      </w:r>
      <w:r>
        <w:rPr>
          <w:rFonts w:ascii="FangSong_GB2312" w:hAnsi="FangSong_GB2312" w:eastAsia="FangSong_GB2312" w:cs="FangSong_GB2312"/>
          <w:kern w:val="0"/>
          <w:sz w:val="32"/>
          <w:szCs w:val="32"/>
          <w:u w:val="none" w:color="auto"/>
        </w:rPr>
        <w:t>主要包括：办公费</w:t>
      </w:r>
      <w:r>
        <w:rPr>
          <w:rFonts w:hint="eastAsia" w:ascii="FangSong_GB2312" w:hAnsi="FangSong_GB2312" w:eastAsia="FangSong_GB2312" w:cs="FangSong_GB2312"/>
          <w:kern w:val="0"/>
          <w:sz w:val="32"/>
          <w:szCs w:val="32"/>
          <w:u w:val="none" w:color="auto"/>
          <w:lang w:val="en-US" w:eastAsia="zh-CN"/>
        </w:rPr>
        <w:t>3.3万元</w:t>
      </w:r>
      <w:r>
        <w:rPr>
          <w:rFonts w:ascii="FangSong_GB2312" w:hAnsi="FangSong_GB2312" w:eastAsia="FangSong_GB2312" w:cs="FangSong_GB2312"/>
          <w:kern w:val="0"/>
          <w:sz w:val="32"/>
          <w:szCs w:val="32"/>
          <w:u w:val="none" w:color="auto"/>
        </w:rPr>
        <w:t>、印刷费</w:t>
      </w:r>
      <w:r>
        <w:rPr>
          <w:rFonts w:hint="eastAsia" w:ascii="FangSong_GB2312" w:hAnsi="FangSong_GB2312" w:eastAsia="FangSong_GB2312" w:cs="FangSong_GB2312"/>
          <w:kern w:val="0"/>
          <w:sz w:val="32"/>
          <w:szCs w:val="32"/>
          <w:u w:val="none" w:color="auto"/>
          <w:lang w:val="en-US" w:eastAsia="zh-CN"/>
        </w:rPr>
        <w:t>1.4万元</w:t>
      </w:r>
      <w:r>
        <w:rPr>
          <w:rFonts w:ascii="FangSong_GB2312" w:hAnsi="FangSong_GB2312" w:eastAsia="FangSong_GB2312" w:cs="FangSong_GB2312"/>
          <w:kern w:val="0"/>
          <w:sz w:val="32"/>
          <w:szCs w:val="32"/>
          <w:u w:val="none" w:color="auto"/>
        </w:rPr>
        <w:t>、手续费</w:t>
      </w:r>
      <w:r>
        <w:rPr>
          <w:rFonts w:hint="eastAsia" w:ascii="FangSong_GB2312" w:hAnsi="FangSong_GB2312" w:eastAsia="FangSong_GB2312" w:cs="FangSong_GB2312"/>
          <w:kern w:val="0"/>
          <w:sz w:val="32"/>
          <w:szCs w:val="32"/>
          <w:u w:val="none" w:color="auto"/>
          <w:lang w:val="en-US" w:eastAsia="zh-CN"/>
        </w:rPr>
        <w:t>0.03万元</w:t>
      </w:r>
      <w:r>
        <w:rPr>
          <w:rFonts w:ascii="FangSong_GB2312" w:hAnsi="FangSong_GB2312" w:eastAsia="FangSong_GB2312" w:cs="FangSong_GB2312"/>
          <w:kern w:val="0"/>
          <w:sz w:val="32"/>
          <w:szCs w:val="32"/>
          <w:u w:val="none" w:color="auto"/>
        </w:rPr>
        <w:t>、水费</w:t>
      </w:r>
      <w:r>
        <w:rPr>
          <w:rFonts w:hint="eastAsia" w:ascii="FangSong_GB2312" w:hAnsi="FangSong_GB2312" w:eastAsia="FangSong_GB2312" w:cs="FangSong_GB2312"/>
          <w:kern w:val="0"/>
          <w:sz w:val="32"/>
          <w:szCs w:val="32"/>
          <w:u w:val="none" w:color="auto"/>
          <w:lang w:val="en-US" w:eastAsia="zh-CN"/>
        </w:rPr>
        <w:t>1.74万元</w:t>
      </w:r>
      <w:r>
        <w:rPr>
          <w:rFonts w:ascii="FangSong_GB2312" w:hAnsi="FangSong_GB2312" w:eastAsia="FangSong_GB2312" w:cs="FangSong_GB2312"/>
          <w:kern w:val="0"/>
          <w:sz w:val="32"/>
          <w:szCs w:val="32"/>
          <w:u w:val="none" w:color="auto"/>
        </w:rPr>
        <w:t>、电费</w:t>
      </w:r>
      <w:r>
        <w:rPr>
          <w:rFonts w:hint="eastAsia" w:ascii="FangSong_GB2312" w:hAnsi="FangSong_GB2312" w:eastAsia="FangSong_GB2312" w:cs="FangSong_GB2312"/>
          <w:kern w:val="0"/>
          <w:sz w:val="32"/>
          <w:szCs w:val="32"/>
          <w:u w:val="none" w:color="auto"/>
          <w:lang w:val="en-US" w:eastAsia="zh-CN"/>
        </w:rPr>
        <w:t>1.94万元</w:t>
      </w:r>
      <w:r>
        <w:rPr>
          <w:rFonts w:ascii="FangSong_GB2312" w:hAnsi="FangSong_GB2312" w:eastAsia="FangSong_GB2312" w:cs="FangSong_GB2312"/>
          <w:kern w:val="0"/>
          <w:sz w:val="32"/>
          <w:szCs w:val="32"/>
          <w:u w:val="none" w:color="auto"/>
        </w:rPr>
        <w:t>、邮电费</w:t>
      </w:r>
      <w:r>
        <w:rPr>
          <w:rFonts w:hint="eastAsia" w:ascii="FangSong_GB2312" w:hAnsi="FangSong_GB2312" w:eastAsia="FangSong_GB2312" w:cs="FangSong_GB2312"/>
          <w:kern w:val="0"/>
          <w:sz w:val="32"/>
          <w:szCs w:val="32"/>
          <w:u w:val="none" w:color="auto"/>
          <w:lang w:val="en-US" w:eastAsia="zh-CN"/>
        </w:rPr>
        <w:t>2.52万元</w:t>
      </w:r>
      <w:r>
        <w:rPr>
          <w:rFonts w:ascii="FangSong_GB2312" w:hAnsi="FangSong_GB2312" w:eastAsia="FangSong_GB2312" w:cs="FangSong_GB2312"/>
          <w:kern w:val="0"/>
          <w:sz w:val="32"/>
          <w:szCs w:val="32"/>
          <w:u w:val="none" w:color="auto"/>
        </w:rPr>
        <w:t>、取暖费</w:t>
      </w:r>
      <w:r>
        <w:rPr>
          <w:rFonts w:hint="eastAsia" w:ascii="FangSong_GB2312" w:hAnsi="FangSong_GB2312" w:eastAsia="FangSong_GB2312" w:cs="FangSong_GB2312"/>
          <w:kern w:val="0"/>
          <w:sz w:val="32"/>
          <w:szCs w:val="32"/>
          <w:u w:val="none" w:color="auto"/>
          <w:lang w:val="en-US" w:eastAsia="zh-CN"/>
        </w:rPr>
        <w:t>6.24万元</w:t>
      </w:r>
      <w:r>
        <w:rPr>
          <w:rFonts w:ascii="FangSong_GB2312" w:hAnsi="FangSong_GB2312" w:eastAsia="FangSong_GB2312" w:cs="FangSong_GB2312"/>
          <w:kern w:val="0"/>
          <w:sz w:val="32"/>
          <w:szCs w:val="32"/>
          <w:u w:val="none" w:color="auto"/>
        </w:rPr>
        <w:t>、物业管理费</w:t>
      </w:r>
      <w:r>
        <w:rPr>
          <w:rFonts w:hint="eastAsia" w:ascii="FangSong_GB2312" w:hAnsi="FangSong_GB2312" w:eastAsia="FangSong_GB2312" w:cs="FangSong_GB2312"/>
          <w:kern w:val="0"/>
          <w:sz w:val="32"/>
          <w:szCs w:val="32"/>
          <w:u w:val="none" w:color="auto"/>
          <w:lang w:val="en-US" w:eastAsia="zh-CN"/>
        </w:rPr>
        <w:t>8.45万元</w:t>
      </w:r>
      <w:r>
        <w:rPr>
          <w:rFonts w:ascii="FangSong_GB2312" w:hAnsi="FangSong_GB2312" w:eastAsia="FangSong_GB2312" w:cs="FangSong_GB2312"/>
          <w:kern w:val="0"/>
          <w:sz w:val="32"/>
          <w:szCs w:val="32"/>
          <w:u w:val="none" w:color="auto"/>
        </w:rPr>
        <w:t>、差旅费</w:t>
      </w:r>
      <w:r>
        <w:rPr>
          <w:rFonts w:hint="eastAsia" w:ascii="FangSong_GB2312" w:hAnsi="FangSong_GB2312" w:eastAsia="FangSong_GB2312" w:cs="FangSong_GB2312"/>
          <w:kern w:val="0"/>
          <w:sz w:val="32"/>
          <w:szCs w:val="32"/>
          <w:u w:val="none" w:color="auto"/>
          <w:lang w:val="en-US" w:eastAsia="zh-CN"/>
        </w:rPr>
        <w:t>0.57万元</w:t>
      </w:r>
      <w:r>
        <w:rPr>
          <w:rFonts w:ascii="FangSong_GB2312" w:hAnsi="FangSong_GB2312" w:eastAsia="FangSong_GB2312" w:cs="FangSong_GB2312"/>
          <w:kern w:val="0"/>
          <w:sz w:val="32"/>
          <w:szCs w:val="32"/>
          <w:u w:val="none" w:color="auto"/>
        </w:rPr>
        <w:t>、维修（护）费</w:t>
      </w:r>
      <w:r>
        <w:rPr>
          <w:rFonts w:hint="eastAsia" w:ascii="FangSong_GB2312" w:hAnsi="FangSong_GB2312" w:eastAsia="FangSong_GB2312" w:cs="FangSong_GB2312"/>
          <w:kern w:val="0"/>
          <w:sz w:val="32"/>
          <w:szCs w:val="32"/>
          <w:u w:val="none" w:color="auto"/>
          <w:lang w:val="en-US" w:eastAsia="zh-CN"/>
        </w:rPr>
        <w:t>3万元</w:t>
      </w:r>
      <w:r>
        <w:rPr>
          <w:rFonts w:ascii="FangSong_GB2312" w:hAnsi="FangSong_GB2312" w:eastAsia="FangSong_GB2312" w:cs="FangSong_GB2312"/>
          <w:kern w:val="0"/>
          <w:sz w:val="32"/>
          <w:szCs w:val="32"/>
          <w:u w:val="none" w:color="auto"/>
        </w:rPr>
        <w:t>、公务接待费</w:t>
      </w:r>
      <w:r>
        <w:rPr>
          <w:rFonts w:hint="eastAsia" w:ascii="FangSong_GB2312" w:hAnsi="FangSong_GB2312" w:eastAsia="FangSong_GB2312" w:cs="FangSong_GB2312"/>
          <w:kern w:val="0"/>
          <w:sz w:val="32"/>
          <w:szCs w:val="32"/>
          <w:u w:val="none" w:color="auto"/>
          <w:lang w:val="en-US" w:eastAsia="zh-CN"/>
        </w:rPr>
        <w:t>0.85万元</w:t>
      </w:r>
      <w:r>
        <w:rPr>
          <w:rFonts w:ascii="FangSong_GB2312" w:hAnsi="FangSong_GB2312" w:eastAsia="FangSong_GB2312" w:cs="FangSong_GB2312"/>
          <w:kern w:val="0"/>
          <w:sz w:val="32"/>
          <w:szCs w:val="32"/>
          <w:u w:val="none" w:color="auto"/>
        </w:rPr>
        <w:t>、劳务费</w:t>
      </w:r>
      <w:r>
        <w:rPr>
          <w:rFonts w:hint="eastAsia" w:ascii="FangSong_GB2312" w:hAnsi="FangSong_GB2312" w:eastAsia="FangSong_GB2312" w:cs="FangSong_GB2312"/>
          <w:kern w:val="0"/>
          <w:sz w:val="32"/>
          <w:szCs w:val="32"/>
          <w:u w:val="none" w:color="auto"/>
          <w:lang w:val="en-US" w:eastAsia="zh-CN"/>
        </w:rPr>
        <w:t>0.24万元</w:t>
      </w:r>
      <w:r>
        <w:rPr>
          <w:rFonts w:ascii="FangSong_GB2312" w:hAnsi="FangSong_GB2312" w:eastAsia="FangSong_GB2312" w:cs="FangSong_GB2312"/>
          <w:kern w:val="0"/>
          <w:sz w:val="32"/>
          <w:szCs w:val="32"/>
          <w:u w:val="none" w:color="auto"/>
        </w:rPr>
        <w:t>、委托业务费</w:t>
      </w:r>
      <w:r>
        <w:rPr>
          <w:rFonts w:hint="eastAsia" w:ascii="FangSong_GB2312" w:hAnsi="FangSong_GB2312" w:eastAsia="FangSong_GB2312" w:cs="FangSong_GB2312"/>
          <w:kern w:val="0"/>
          <w:sz w:val="32"/>
          <w:szCs w:val="32"/>
          <w:u w:val="none" w:color="auto"/>
          <w:lang w:val="en-US" w:eastAsia="zh-CN"/>
        </w:rPr>
        <w:t>0.82万元</w:t>
      </w:r>
      <w:r>
        <w:rPr>
          <w:rFonts w:ascii="FangSong_GB2312" w:hAnsi="FangSong_GB2312" w:eastAsia="FangSong_GB2312" w:cs="FangSong_GB2312"/>
          <w:kern w:val="0"/>
          <w:sz w:val="32"/>
          <w:szCs w:val="32"/>
          <w:u w:val="none" w:color="auto"/>
        </w:rPr>
        <w:t>、工会经费</w:t>
      </w:r>
      <w:r>
        <w:rPr>
          <w:rFonts w:hint="eastAsia" w:ascii="FangSong_GB2312" w:hAnsi="FangSong_GB2312" w:eastAsia="FangSong_GB2312" w:cs="FangSong_GB2312"/>
          <w:kern w:val="0"/>
          <w:sz w:val="32"/>
          <w:szCs w:val="32"/>
          <w:u w:val="none" w:color="auto"/>
          <w:lang w:val="en-US" w:eastAsia="zh-CN"/>
        </w:rPr>
        <w:t>5.71万元</w:t>
      </w:r>
      <w:r>
        <w:rPr>
          <w:rFonts w:ascii="FangSong_GB2312" w:hAnsi="FangSong_GB2312" w:eastAsia="FangSong_GB2312" w:cs="FangSong_GB2312"/>
          <w:kern w:val="0"/>
          <w:sz w:val="32"/>
          <w:szCs w:val="32"/>
          <w:u w:val="none" w:color="auto"/>
        </w:rPr>
        <w:t>、福利费</w:t>
      </w:r>
      <w:r>
        <w:rPr>
          <w:rFonts w:hint="eastAsia" w:ascii="FangSong_GB2312" w:hAnsi="FangSong_GB2312" w:eastAsia="FangSong_GB2312" w:cs="FangSong_GB2312"/>
          <w:kern w:val="0"/>
          <w:sz w:val="32"/>
          <w:szCs w:val="32"/>
          <w:u w:val="none" w:color="auto"/>
          <w:lang w:val="en-US" w:eastAsia="zh-CN"/>
        </w:rPr>
        <w:t>0.48万元</w:t>
      </w:r>
      <w:r>
        <w:rPr>
          <w:rFonts w:ascii="FangSong_GB2312" w:hAnsi="FangSong_GB2312" w:eastAsia="FangSong_GB2312" w:cs="FangSong_GB2312"/>
          <w:kern w:val="0"/>
          <w:sz w:val="32"/>
          <w:szCs w:val="32"/>
          <w:u w:val="none" w:color="auto"/>
        </w:rPr>
        <w:t>、公务用车运行维护费</w:t>
      </w:r>
      <w:r>
        <w:rPr>
          <w:rFonts w:hint="eastAsia" w:ascii="FangSong_GB2312" w:hAnsi="FangSong_GB2312" w:eastAsia="FangSong_GB2312" w:cs="FangSong_GB2312"/>
          <w:kern w:val="0"/>
          <w:sz w:val="32"/>
          <w:szCs w:val="32"/>
          <w:u w:val="none" w:color="auto"/>
          <w:lang w:val="en-US" w:eastAsia="zh-CN"/>
        </w:rPr>
        <w:t>3.45万元</w:t>
      </w:r>
      <w:r>
        <w:rPr>
          <w:rFonts w:ascii="FangSong_GB2312" w:hAnsi="FangSong_GB2312" w:eastAsia="FangSong_GB2312" w:cs="FangSong_GB2312"/>
          <w:kern w:val="0"/>
          <w:sz w:val="32"/>
          <w:szCs w:val="32"/>
          <w:u w:val="none" w:color="auto"/>
        </w:rPr>
        <w:t>、其他交通费用</w:t>
      </w:r>
      <w:r>
        <w:rPr>
          <w:rFonts w:hint="eastAsia" w:ascii="FangSong_GB2312" w:hAnsi="FangSong_GB2312" w:eastAsia="FangSong_GB2312" w:cs="FangSong_GB2312"/>
          <w:kern w:val="0"/>
          <w:sz w:val="32"/>
          <w:szCs w:val="32"/>
          <w:u w:val="none" w:color="auto"/>
          <w:lang w:val="en-US" w:eastAsia="zh-CN"/>
        </w:rPr>
        <w:t>28.14万元、</w:t>
      </w:r>
      <w:r>
        <w:rPr>
          <w:rFonts w:hint="eastAsia" w:ascii="FangSong_GB2312" w:hAnsi="FangSong_GB2312" w:eastAsia="FangSong_GB2312" w:cs="FangSong_GB2312"/>
          <w:kern w:val="0"/>
          <w:sz w:val="32"/>
          <w:szCs w:val="32"/>
          <w:u w:val="none" w:color="auto"/>
        </w:rPr>
        <w:t>办公设备购置</w:t>
      </w:r>
      <w:r>
        <w:rPr>
          <w:rFonts w:hint="eastAsia" w:ascii="FangSong_GB2312" w:hAnsi="FangSong_GB2312" w:eastAsia="FangSong_GB2312" w:cs="FangSong_GB2312"/>
          <w:kern w:val="0"/>
          <w:sz w:val="32"/>
          <w:szCs w:val="32"/>
          <w:u w:val="none" w:color="auto"/>
          <w:lang w:val="en-US" w:eastAsia="zh-CN"/>
        </w:rPr>
        <w:t>1.02</w:t>
      </w:r>
      <w:r>
        <w:rPr>
          <w:rFonts w:hint="eastAsia" w:ascii="FangSong_GB2312" w:hAnsi="FangSong_GB2312" w:eastAsia="FangSong_GB2312" w:cs="FangSong_GB2312"/>
          <w:kern w:val="0"/>
          <w:sz w:val="32"/>
          <w:szCs w:val="32"/>
          <w:u w:val="none" w:color="auto"/>
        </w:rPr>
        <w:t>万元</w:t>
      </w:r>
      <w:r>
        <w:rPr>
          <w:rFonts w:ascii="FangSong_GB2312" w:hAnsi="FangSong_GB2312" w:eastAsia="FangSong_GB2312" w:cs="FangSong_GB2312"/>
          <w:kern w:val="0"/>
          <w:sz w:val="32"/>
          <w:szCs w:val="32"/>
          <w:u w:val="none" w:color="auto"/>
        </w:rPr>
        <w:t>。</w:t>
      </w:r>
    </w:p>
    <w:p w14:paraId="0F112963">
      <w:pPr>
        <w:pStyle w:val="29"/>
        <w:keepNext w:val="0"/>
        <w:keepLines w:val="0"/>
        <w:pageBreakBefore w:val="0"/>
        <w:widowControl/>
        <w:kinsoku/>
        <w:wordWrap/>
        <w:overflowPunct/>
        <w:topLinePunct w:val="0"/>
        <w:autoSpaceDE/>
        <w:autoSpaceDN/>
        <w:bidi w:val="0"/>
        <w:adjustRightInd/>
        <w:snapToGrid/>
        <w:spacing w:line="560" w:lineRule="exact"/>
        <w:ind w:firstLine="643"/>
        <w:jc w:val="left"/>
        <w:textAlignment w:val="auto"/>
        <w:rPr>
          <w:rFonts w:ascii="Times New Roman" w:hAnsi="Times New Roman" w:eastAsia="Times New Roman" w:cs="Times New Roman"/>
          <w:kern w:val="0"/>
          <w:sz w:val="24"/>
          <w:u w:val="none" w:color="auto"/>
        </w:rPr>
      </w:pPr>
      <w:r>
        <w:rPr>
          <w:rFonts w:ascii="黑体" w:hAnsi="黑体" w:eastAsia="黑体" w:cs="黑体"/>
          <w:b/>
          <w:bCs/>
          <w:kern w:val="0"/>
          <w:sz w:val="32"/>
          <w:szCs w:val="32"/>
          <w:u w:val="none" w:color="auto"/>
        </w:rPr>
        <w:t>七、一般公共预算财政拨款项目支出决算情况说明</w:t>
      </w:r>
    </w:p>
    <w:p w14:paraId="463826A6">
      <w:pPr>
        <w:pStyle w:val="29"/>
        <w:keepNext w:val="0"/>
        <w:keepLines w:val="0"/>
        <w:pageBreakBefore w:val="0"/>
        <w:widowControl/>
        <w:kinsoku/>
        <w:wordWrap/>
        <w:overflowPunct/>
        <w:topLinePunct w:val="0"/>
        <w:autoSpaceDE/>
        <w:autoSpaceDN/>
        <w:bidi w:val="0"/>
        <w:adjustRightInd/>
        <w:snapToGrid/>
        <w:spacing w:line="560" w:lineRule="exact"/>
        <w:ind w:firstLine="640"/>
        <w:jc w:val="left"/>
        <w:textAlignment w:val="auto"/>
        <w:rPr>
          <w:rFonts w:ascii="Times New Roman" w:hAnsi="Times New Roman" w:eastAsia="Times New Roman" w:cs="Times New Roman"/>
          <w:kern w:val="0"/>
          <w:sz w:val="24"/>
          <w:u w:val="none" w:color="auto"/>
        </w:rPr>
      </w:pPr>
      <w:r>
        <w:rPr>
          <w:rFonts w:ascii="FangSong_GB2312" w:hAnsi="FangSong_GB2312" w:eastAsia="FangSong_GB2312" w:cs="FangSong_GB2312"/>
          <w:kern w:val="0"/>
          <w:sz w:val="32"/>
          <w:szCs w:val="32"/>
          <w:u w:val="none" w:color="auto"/>
        </w:rPr>
        <w:t>内蒙古自治区巴彦淖尔市卫生健康委员会（本级）</w:t>
      </w:r>
      <w:r>
        <w:rPr>
          <w:rFonts w:ascii="Times New Roman" w:hAnsi="Times New Roman" w:eastAsia="Times New Roman" w:cs="Times New Roman"/>
          <w:kern w:val="0"/>
          <w:sz w:val="24"/>
          <w:u w:val="none" w:color="auto"/>
        </w:rPr>
        <w:t xml:space="preserve"> </w:t>
      </w:r>
      <w:r>
        <w:rPr>
          <w:rFonts w:eastAsia="Times New Roman"/>
          <w:kern w:val="0"/>
          <w:sz w:val="32"/>
          <w:szCs w:val="32"/>
          <w:u w:val="none" w:color="auto"/>
          <w:lang w:eastAsia="en-US"/>
        </w:rPr>
        <w:t>2025</w:t>
      </w:r>
      <w:r>
        <w:rPr>
          <w:rFonts w:ascii="FangSong_GB2312" w:hAnsi="FangSong_GB2312" w:eastAsia="FangSong_GB2312" w:cs="FangSong_GB2312"/>
          <w:kern w:val="0"/>
          <w:sz w:val="32"/>
          <w:szCs w:val="32"/>
          <w:u w:val="none" w:color="auto"/>
        </w:rPr>
        <w:t>年度一般公共预算财政拨款项目支出决算</w:t>
      </w:r>
      <w:r>
        <w:rPr>
          <w:rFonts w:eastAsia="Times New Roman"/>
          <w:kern w:val="0"/>
          <w:sz w:val="32"/>
          <w:szCs w:val="32"/>
          <w:u w:val="none" w:color="auto"/>
          <w:lang w:eastAsia="en-US"/>
        </w:rPr>
        <w:t xml:space="preserve"> 546.33</w:t>
      </w:r>
      <w:r>
        <w:rPr>
          <w:rFonts w:ascii="FangSong_GB2312" w:hAnsi="FangSong_GB2312" w:eastAsia="FangSong_GB2312" w:cs="FangSong_GB2312"/>
          <w:kern w:val="0"/>
          <w:sz w:val="32"/>
          <w:szCs w:val="32"/>
          <w:u w:val="none" w:color="auto"/>
        </w:rPr>
        <w:t>万元，其中：</w:t>
      </w:r>
    </w:p>
    <w:p w14:paraId="03C54EA4">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方正楷体_GB2312" w:hAnsi="方正楷体_GB2312" w:eastAsia="方正楷体_GB2312" w:cs="方正楷体_GB2312"/>
          <w:b w:val="0"/>
          <w:bCs w:val="0"/>
          <w:color w:val="auto"/>
          <w:kern w:val="0"/>
          <w:sz w:val="32"/>
          <w:szCs w:val="32"/>
          <w:u w:val="none" w:color="auto"/>
          <w:lang w:eastAsia="en-US"/>
        </w:rPr>
      </w:pPr>
      <w:r>
        <w:rPr>
          <w:rFonts w:hint="eastAsia" w:ascii="方正楷体_GB2312" w:hAnsi="方正楷体_GB2312" w:eastAsia="方正楷体_GB2312" w:cs="方正楷体_GB2312"/>
          <w:b w:val="0"/>
          <w:bCs w:val="0"/>
          <w:color w:val="auto"/>
          <w:kern w:val="0"/>
          <w:sz w:val="32"/>
          <w:szCs w:val="32"/>
          <w:u w:val="none" w:color="auto"/>
          <w:lang w:eastAsia="zh-CN"/>
        </w:rPr>
        <w:t>（一）</w:t>
      </w:r>
      <w:r>
        <w:rPr>
          <w:rFonts w:hint="eastAsia" w:ascii="方正楷体_GB2312" w:hAnsi="方正楷体_GB2312" w:eastAsia="方正楷体_GB2312" w:cs="方正楷体_GB2312"/>
          <w:b w:val="0"/>
          <w:bCs w:val="0"/>
          <w:color w:val="auto"/>
          <w:kern w:val="0"/>
          <w:sz w:val="32"/>
          <w:szCs w:val="32"/>
          <w:u w:val="none" w:color="auto"/>
          <w:lang w:eastAsia="en-US"/>
        </w:rPr>
        <w:t>工资福利支出 0万元。</w:t>
      </w:r>
    </w:p>
    <w:p w14:paraId="46B795E2">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FangSong_GB2312" w:hAnsi="FangSong_GB2312" w:eastAsia="FangSong_GB2312" w:cs="FangSong_GB2312"/>
          <w:kern w:val="0"/>
          <w:sz w:val="32"/>
          <w:szCs w:val="32"/>
          <w:u w:val="none" w:color="auto"/>
        </w:rPr>
      </w:pPr>
      <w:r>
        <w:rPr>
          <w:rFonts w:hint="eastAsia" w:ascii="方正楷体_GB2312" w:hAnsi="方正楷体_GB2312" w:eastAsia="方正楷体_GB2312" w:cs="方正楷体_GB2312"/>
          <w:b w:val="0"/>
          <w:bCs w:val="0"/>
          <w:color w:val="auto"/>
          <w:kern w:val="0"/>
          <w:sz w:val="32"/>
          <w:szCs w:val="32"/>
          <w:u w:val="none" w:color="auto"/>
          <w:lang w:eastAsia="zh-CN"/>
        </w:rPr>
        <w:t>（二）</w:t>
      </w:r>
      <w:r>
        <w:rPr>
          <w:rFonts w:hint="eastAsia" w:ascii="方正楷体_GB2312" w:hAnsi="方正楷体_GB2312" w:eastAsia="方正楷体_GB2312" w:cs="方正楷体_GB2312"/>
          <w:b w:val="0"/>
          <w:bCs w:val="0"/>
          <w:color w:val="auto"/>
          <w:kern w:val="0"/>
          <w:sz w:val="32"/>
          <w:szCs w:val="32"/>
          <w:u w:val="none" w:color="auto"/>
          <w:lang w:eastAsia="en-US"/>
        </w:rPr>
        <w:t>商品和服务支出 265.89万元。</w:t>
      </w:r>
      <w:r>
        <w:rPr>
          <w:rFonts w:ascii="FangSong_GB2312" w:hAnsi="FangSong_GB2312" w:eastAsia="FangSong_GB2312" w:cs="FangSong_GB2312"/>
          <w:kern w:val="0"/>
          <w:sz w:val="32"/>
          <w:szCs w:val="32"/>
          <w:u w:val="none" w:color="auto"/>
        </w:rPr>
        <w:t>主要包括：办公费</w:t>
      </w:r>
      <w:r>
        <w:rPr>
          <w:rFonts w:hint="eastAsia" w:ascii="FangSong_GB2312" w:hAnsi="FangSong_GB2312" w:eastAsia="FangSong_GB2312" w:cs="FangSong_GB2312"/>
          <w:kern w:val="0"/>
          <w:sz w:val="32"/>
          <w:szCs w:val="32"/>
          <w:u w:val="none" w:color="auto"/>
          <w:lang w:val="en-US" w:eastAsia="zh-CN"/>
        </w:rPr>
        <w:t>14.69万元</w:t>
      </w:r>
      <w:r>
        <w:rPr>
          <w:rFonts w:ascii="FangSong_GB2312" w:hAnsi="FangSong_GB2312" w:eastAsia="FangSong_GB2312" w:cs="FangSong_GB2312"/>
          <w:kern w:val="0"/>
          <w:sz w:val="32"/>
          <w:szCs w:val="32"/>
          <w:u w:val="none" w:color="auto"/>
        </w:rPr>
        <w:t>、印刷费</w:t>
      </w:r>
      <w:r>
        <w:rPr>
          <w:rFonts w:hint="eastAsia" w:ascii="FangSong_GB2312" w:hAnsi="FangSong_GB2312" w:eastAsia="FangSong_GB2312" w:cs="FangSong_GB2312"/>
          <w:kern w:val="0"/>
          <w:sz w:val="32"/>
          <w:szCs w:val="32"/>
          <w:u w:val="none" w:color="auto"/>
          <w:lang w:val="en-US" w:eastAsia="zh-CN"/>
        </w:rPr>
        <w:t>9.6万元</w:t>
      </w:r>
      <w:r>
        <w:rPr>
          <w:rFonts w:ascii="FangSong_GB2312" w:hAnsi="FangSong_GB2312" w:eastAsia="FangSong_GB2312" w:cs="FangSong_GB2312"/>
          <w:kern w:val="0"/>
          <w:sz w:val="32"/>
          <w:szCs w:val="32"/>
          <w:u w:val="none" w:color="auto"/>
        </w:rPr>
        <w:t>、差旅费</w:t>
      </w:r>
      <w:r>
        <w:rPr>
          <w:rFonts w:hint="eastAsia" w:ascii="FangSong_GB2312" w:hAnsi="FangSong_GB2312" w:eastAsia="FangSong_GB2312" w:cs="FangSong_GB2312"/>
          <w:kern w:val="0"/>
          <w:sz w:val="32"/>
          <w:szCs w:val="32"/>
          <w:u w:val="none" w:color="auto"/>
          <w:lang w:val="en-US" w:eastAsia="zh-CN"/>
        </w:rPr>
        <w:t>25.97万元</w:t>
      </w:r>
      <w:r>
        <w:rPr>
          <w:rFonts w:ascii="FangSong_GB2312" w:hAnsi="FangSong_GB2312" w:eastAsia="FangSong_GB2312" w:cs="FangSong_GB2312"/>
          <w:kern w:val="0"/>
          <w:sz w:val="32"/>
          <w:szCs w:val="32"/>
          <w:u w:val="none" w:color="auto"/>
        </w:rPr>
        <w:t>、因公出国（境）费用</w:t>
      </w:r>
      <w:r>
        <w:rPr>
          <w:rFonts w:hint="eastAsia" w:ascii="FangSong_GB2312" w:hAnsi="FangSong_GB2312" w:eastAsia="FangSong_GB2312" w:cs="FangSong_GB2312"/>
          <w:kern w:val="0"/>
          <w:sz w:val="32"/>
          <w:szCs w:val="32"/>
          <w:u w:val="none" w:color="auto"/>
          <w:lang w:val="en-US" w:eastAsia="zh-CN"/>
        </w:rPr>
        <w:t>1.72万元</w:t>
      </w:r>
      <w:r>
        <w:rPr>
          <w:rFonts w:ascii="FangSong_GB2312" w:hAnsi="FangSong_GB2312" w:eastAsia="FangSong_GB2312" w:cs="FangSong_GB2312"/>
          <w:kern w:val="0"/>
          <w:sz w:val="32"/>
          <w:szCs w:val="32"/>
          <w:u w:val="none" w:color="auto"/>
        </w:rPr>
        <w:t>、维修（护）费</w:t>
      </w:r>
      <w:r>
        <w:rPr>
          <w:rFonts w:hint="eastAsia" w:ascii="FangSong_GB2312" w:hAnsi="FangSong_GB2312" w:eastAsia="FangSong_GB2312" w:cs="FangSong_GB2312"/>
          <w:kern w:val="0"/>
          <w:sz w:val="32"/>
          <w:szCs w:val="32"/>
          <w:u w:val="none" w:color="auto"/>
          <w:lang w:val="en-US" w:eastAsia="zh-CN"/>
        </w:rPr>
        <w:t>78.98万元</w:t>
      </w:r>
      <w:r>
        <w:rPr>
          <w:rFonts w:ascii="FangSong_GB2312" w:hAnsi="FangSong_GB2312" w:eastAsia="FangSong_GB2312" w:cs="FangSong_GB2312"/>
          <w:kern w:val="0"/>
          <w:sz w:val="32"/>
          <w:szCs w:val="32"/>
          <w:u w:val="none" w:color="auto"/>
        </w:rPr>
        <w:t>、会议费</w:t>
      </w:r>
      <w:r>
        <w:rPr>
          <w:rFonts w:hint="eastAsia" w:ascii="FangSong_GB2312" w:hAnsi="FangSong_GB2312" w:eastAsia="FangSong_GB2312" w:cs="FangSong_GB2312"/>
          <w:kern w:val="0"/>
          <w:sz w:val="32"/>
          <w:szCs w:val="32"/>
          <w:u w:val="none" w:color="auto"/>
          <w:lang w:val="en-US" w:eastAsia="zh-CN"/>
        </w:rPr>
        <w:t>0.72万元</w:t>
      </w:r>
      <w:r>
        <w:rPr>
          <w:rFonts w:ascii="FangSong_GB2312" w:hAnsi="FangSong_GB2312" w:eastAsia="FangSong_GB2312" w:cs="FangSong_GB2312"/>
          <w:kern w:val="0"/>
          <w:sz w:val="32"/>
          <w:szCs w:val="32"/>
          <w:u w:val="none" w:color="auto"/>
        </w:rPr>
        <w:t>、培训费</w:t>
      </w:r>
      <w:r>
        <w:rPr>
          <w:rFonts w:hint="eastAsia" w:ascii="FangSong_GB2312" w:hAnsi="FangSong_GB2312" w:eastAsia="FangSong_GB2312" w:cs="FangSong_GB2312"/>
          <w:kern w:val="0"/>
          <w:sz w:val="32"/>
          <w:szCs w:val="32"/>
          <w:u w:val="none" w:color="auto"/>
          <w:lang w:val="en-US" w:eastAsia="zh-CN"/>
        </w:rPr>
        <w:t>27.38万元</w:t>
      </w:r>
      <w:r>
        <w:rPr>
          <w:rFonts w:ascii="FangSong_GB2312" w:hAnsi="FangSong_GB2312" w:eastAsia="FangSong_GB2312" w:cs="FangSong_GB2312"/>
          <w:kern w:val="0"/>
          <w:sz w:val="32"/>
          <w:szCs w:val="32"/>
          <w:u w:val="none" w:color="auto"/>
        </w:rPr>
        <w:t>、专用材料费</w:t>
      </w:r>
      <w:r>
        <w:rPr>
          <w:rFonts w:hint="eastAsia" w:ascii="FangSong_GB2312" w:hAnsi="FangSong_GB2312" w:eastAsia="FangSong_GB2312" w:cs="FangSong_GB2312"/>
          <w:kern w:val="0"/>
          <w:sz w:val="32"/>
          <w:szCs w:val="32"/>
          <w:u w:val="none" w:color="auto"/>
          <w:lang w:val="en-US" w:eastAsia="zh-CN"/>
        </w:rPr>
        <w:t>11.57万元</w:t>
      </w:r>
      <w:r>
        <w:rPr>
          <w:rFonts w:ascii="FangSong_GB2312" w:hAnsi="FangSong_GB2312" w:eastAsia="FangSong_GB2312" w:cs="FangSong_GB2312"/>
          <w:kern w:val="0"/>
          <w:sz w:val="32"/>
          <w:szCs w:val="32"/>
          <w:u w:val="none" w:color="auto"/>
        </w:rPr>
        <w:t>、劳务费</w:t>
      </w:r>
      <w:r>
        <w:rPr>
          <w:rFonts w:hint="eastAsia" w:ascii="FangSong_GB2312" w:hAnsi="FangSong_GB2312" w:eastAsia="FangSong_GB2312" w:cs="FangSong_GB2312"/>
          <w:kern w:val="0"/>
          <w:sz w:val="32"/>
          <w:szCs w:val="32"/>
          <w:u w:val="none" w:color="auto"/>
          <w:lang w:val="en-US" w:eastAsia="zh-CN"/>
        </w:rPr>
        <w:t>38.96万元</w:t>
      </w:r>
      <w:r>
        <w:rPr>
          <w:rFonts w:ascii="FangSong_GB2312" w:hAnsi="FangSong_GB2312" w:eastAsia="FangSong_GB2312" w:cs="FangSong_GB2312"/>
          <w:kern w:val="0"/>
          <w:sz w:val="32"/>
          <w:szCs w:val="32"/>
          <w:u w:val="none" w:color="auto"/>
        </w:rPr>
        <w:t>、委托业务费</w:t>
      </w:r>
      <w:r>
        <w:rPr>
          <w:rFonts w:hint="eastAsia" w:ascii="FangSong_GB2312" w:hAnsi="FangSong_GB2312" w:eastAsia="FangSong_GB2312" w:cs="FangSong_GB2312"/>
          <w:kern w:val="0"/>
          <w:sz w:val="32"/>
          <w:szCs w:val="32"/>
          <w:u w:val="none" w:color="auto"/>
          <w:lang w:val="en-US" w:eastAsia="zh-CN"/>
        </w:rPr>
        <w:t>1.47万元</w:t>
      </w:r>
      <w:r>
        <w:rPr>
          <w:rFonts w:ascii="FangSong_GB2312" w:hAnsi="FangSong_GB2312" w:eastAsia="FangSong_GB2312" w:cs="FangSong_GB2312"/>
          <w:kern w:val="0"/>
          <w:sz w:val="32"/>
          <w:szCs w:val="32"/>
          <w:u w:val="none" w:color="auto"/>
        </w:rPr>
        <w:t>、公务用车运行维护费</w:t>
      </w:r>
      <w:r>
        <w:rPr>
          <w:rFonts w:hint="eastAsia" w:ascii="FangSong_GB2312" w:hAnsi="FangSong_GB2312" w:eastAsia="FangSong_GB2312" w:cs="FangSong_GB2312"/>
          <w:kern w:val="0"/>
          <w:sz w:val="32"/>
          <w:szCs w:val="32"/>
          <w:u w:val="none" w:color="auto"/>
          <w:lang w:val="en-US" w:eastAsia="zh-CN"/>
        </w:rPr>
        <w:t>4.34万元</w:t>
      </w:r>
      <w:r>
        <w:rPr>
          <w:rFonts w:ascii="FangSong_GB2312" w:hAnsi="FangSong_GB2312" w:eastAsia="FangSong_GB2312" w:cs="FangSong_GB2312"/>
          <w:kern w:val="0"/>
          <w:sz w:val="32"/>
          <w:szCs w:val="32"/>
          <w:u w:val="none" w:color="auto"/>
        </w:rPr>
        <w:t>、其他交通费用</w:t>
      </w:r>
      <w:r>
        <w:rPr>
          <w:rFonts w:hint="eastAsia" w:ascii="FangSong_GB2312" w:hAnsi="FangSong_GB2312" w:eastAsia="FangSong_GB2312" w:cs="FangSong_GB2312"/>
          <w:kern w:val="0"/>
          <w:sz w:val="32"/>
          <w:szCs w:val="32"/>
          <w:u w:val="none" w:color="auto"/>
          <w:lang w:val="en-US" w:eastAsia="zh-CN"/>
        </w:rPr>
        <w:t>1.18万元、</w:t>
      </w:r>
      <w:r>
        <w:rPr>
          <w:rFonts w:ascii="FangSong_GB2312" w:hAnsi="FangSong_GB2312" w:eastAsia="FangSong_GB2312" w:cs="FangSong_GB2312"/>
          <w:kern w:val="0"/>
          <w:sz w:val="32"/>
          <w:szCs w:val="32"/>
          <w:u w:val="none" w:color="auto"/>
        </w:rPr>
        <w:t>其他商品和服务支出</w:t>
      </w:r>
      <w:r>
        <w:rPr>
          <w:rFonts w:hint="eastAsia" w:ascii="FangSong_GB2312" w:hAnsi="FangSong_GB2312" w:eastAsia="FangSong_GB2312" w:cs="FangSong_GB2312"/>
          <w:kern w:val="0"/>
          <w:sz w:val="32"/>
          <w:szCs w:val="32"/>
          <w:u w:val="none" w:color="auto"/>
          <w:lang w:val="en-US" w:eastAsia="zh-CN"/>
        </w:rPr>
        <w:t>49.32万元</w:t>
      </w:r>
      <w:r>
        <w:rPr>
          <w:rFonts w:ascii="FangSong_GB2312" w:hAnsi="FangSong_GB2312" w:eastAsia="FangSong_GB2312" w:cs="FangSong_GB2312"/>
          <w:kern w:val="0"/>
          <w:sz w:val="32"/>
          <w:szCs w:val="32"/>
          <w:u w:val="none" w:color="auto"/>
        </w:rPr>
        <w:t>。</w:t>
      </w:r>
    </w:p>
    <w:p w14:paraId="2515F7D8">
      <w:pPr>
        <w:keepNext w:val="0"/>
        <w:keepLines w:val="0"/>
        <w:pageBreakBefore w:val="0"/>
        <w:kinsoku/>
        <w:wordWrap/>
        <w:overflowPunct/>
        <w:topLinePunct w:val="0"/>
        <w:autoSpaceDE/>
        <w:autoSpaceDN/>
        <w:bidi w:val="0"/>
        <w:adjustRightInd/>
        <w:snapToGrid/>
        <w:spacing w:line="560" w:lineRule="exact"/>
        <w:ind w:firstLine="643"/>
        <w:jc w:val="both"/>
        <w:textAlignment w:val="auto"/>
        <w:rPr>
          <w:rFonts w:ascii="FangSong_GB2312" w:hAnsi="FangSong_GB2312" w:eastAsia="FangSong_GB2312" w:cs="FangSong_GB2312"/>
          <w:kern w:val="0"/>
          <w:sz w:val="32"/>
          <w:szCs w:val="32"/>
          <w:u w:val="none" w:color="auto"/>
          <w:lang w:val="en-US" w:eastAsia="zh-CN" w:bidi="ar-SA"/>
        </w:rPr>
      </w:pPr>
      <w:r>
        <w:rPr>
          <w:rFonts w:hint="eastAsia" w:ascii="方正楷体_GB2312" w:hAnsi="方正楷体_GB2312" w:eastAsia="方正楷体_GB2312" w:cs="方正楷体_GB2312"/>
          <w:b w:val="0"/>
          <w:bCs w:val="0"/>
          <w:color w:val="auto"/>
          <w:kern w:val="0"/>
          <w:sz w:val="32"/>
          <w:szCs w:val="32"/>
          <w:u w:val="none" w:color="auto"/>
          <w:lang w:val="en-US" w:eastAsia="zh-CN"/>
        </w:rPr>
        <w:t>（三）对个人和家庭的补助66.09万元。</w:t>
      </w:r>
      <w:r>
        <w:rPr>
          <w:rFonts w:hint="eastAsia" w:ascii="FangSong_GB2312" w:hAnsi="FangSong_GB2312" w:eastAsia="FangSong_GB2312" w:cs="FangSong_GB2312"/>
          <w:kern w:val="0"/>
          <w:sz w:val="32"/>
          <w:szCs w:val="32"/>
          <w:u w:val="none" w:color="auto"/>
          <w:lang w:val="en-US" w:eastAsia="zh-CN" w:bidi="ar-SA"/>
        </w:rPr>
        <w:t>主要包括：医疗费补助64.59万元、其他对个人和家庭的补助1.5万元。</w:t>
      </w:r>
    </w:p>
    <w:p w14:paraId="58AD2CDE">
      <w:pPr>
        <w:pStyle w:val="29"/>
        <w:keepNext w:val="0"/>
        <w:keepLines w:val="0"/>
        <w:pageBreakBefore w:val="0"/>
        <w:widowControl/>
        <w:kinsoku/>
        <w:wordWrap/>
        <w:overflowPunct/>
        <w:topLinePunct w:val="0"/>
        <w:autoSpaceDE/>
        <w:autoSpaceDN/>
        <w:bidi w:val="0"/>
        <w:adjustRightInd/>
        <w:snapToGrid/>
        <w:spacing w:line="560" w:lineRule="exact"/>
        <w:ind w:firstLine="640"/>
        <w:jc w:val="left"/>
        <w:textAlignment w:val="auto"/>
        <w:rPr>
          <w:rFonts w:ascii="Times New Roman" w:hAnsi="Times New Roman" w:eastAsia="Times New Roman" w:cs="Times New Roman"/>
          <w:kern w:val="0"/>
          <w:sz w:val="24"/>
          <w:u w:val="none" w:color="auto"/>
        </w:rPr>
      </w:pPr>
      <w:r>
        <w:rPr>
          <w:rFonts w:hint="eastAsia" w:ascii="方正楷体_GB2312" w:hAnsi="方正楷体_GB2312" w:eastAsia="方正楷体_GB2312" w:cs="方正楷体_GB2312"/>
          <w:b w:val="0"/>
          <w:bCs w:val="0"/>
          <w:color w:val="auto"/>
          <w:kern w:val="0"/>
          <w:sz w:val="32"/>
          <w:szCs w:val="32"/>
          <w:u w:val="none" w:color="auto"/>
          <w:lang w:val="en-US" w:eastAsia="zh-CN" w:bidi="ar-SA"/>
        </w:rPr>
        <w:t>（四）资本性支出</w:t>
      </w:r>
      <w:r>
        <w:rPr>
          <w:rFonts w:hint="eastAsia" w:ascii="方正楷体_GB2312" w:hAnsi="方正楷体_GB2312" w:eastAsia="方正楷体_GB2312" w:cs="方正楷体_GB2312"/>
          <w:b w:val="0"/>
          <w:bCs w:val="0"/>
          <w:color w:val="auto"/>
          <w:kern w:val="0"/>
          <w:sz w:val="32"/>
          <w:szCs w:val="32"/>
          <w:u w:val="none" w:color="auto"/>
          <w:lang w:val="en-US" w:eastAsia="en-US" w:bidi="ar-SA"/>
        </w:rPr>
        <w:t xml:space="preserve"> 214.35</w:t>
      </w:r>
      <w:r>
        <w:rPr>
          <w:rFonts w:hint="eastAsia" w:ascii="方正楷体_GB2312" w:hAnsi="方正楷体_GB2312" w:eastAsia="方正楷体_GB2312" w:cs="方正楷体_GB2312"/>
          <w:b w:val="0"/>
          <w:bCs w:val="0"/>
          <w:color w:val="auto"/>
          <w:kern w:val="0"/>
          <w:sz w:val="32"/>
          <w:szCs w:val="32"/>
          <w:u w:val="none" w:color="auto"/>
          <w:lang w:val="en-US" w:eastAsia="zh-CN" w:bidi="ar-SA"/>
        </w:rPr>
        <w:t>万元。</w:t>
      </w:r>
      <w:r>
        <w:rPr>
          <w:rFonts w:ascii="FangSong_GB2312" w:hAnsi="FangSong_GB2312" w:eastAsia="FangSong_GB2312" w:cs="FangSong_GB2312"/>
          <w:kern w:val="0"/>
          <w:sz w:val="32"/>
          <w:szCs w:val="32"/>
          <w:u w:val="none" w:color="auto"/>
        </w:rPr>
        <w:t>主要包括：办公设备购置</w:t>
      </w:r>
      <w:r>
        <w:rPr>
          <w:rFonts w:hint="eastAsia" w:ascii="FangSong_GB2312" w:hAnsi="FangSong_GB2312" w:eastAsia="FangSong_GB2312" w:cs="FangSong_GB2312"/>
          <w:kern w:val="0"/>
          <w:sz w:val="32"/>
          <w:szCs w:val="32"/>
          <w:u w:val="none" w:color="auto"/>
          <w:lang w:val="en-US" w:eastAsia="zh-CN"/>
        </w:rPr>
        <w:t>6.49万元</w:t>
      </w:r>
      <w:r>
        <w:rPr>
          <w:rFonts w:ascii="FangSong_GB2312" w:hAnsi="FangSong_GB2312" w:eastAsia="FangSong_GB2312" w:cs="FangSong_GB2312"/>
          <w:kern w:val="0"/>
          <w:sz w:val="32"/>
          <w:szCs w:val="32"/>
          <w:u w:val="none" w:color="auto"/>
        </w:rPr>
        <w:t>、信息网络及软件购置更新</w:t>
      </w:r>
      <w:r>
        <w:rPr>
          <w:rFonts w:hint="eastAsia" w:ascii="FangSong_GB2312" w:hAnsi="FangSong_GB2312" w:eastAsia="FangSong_GB2312" w:cs="FangSong_GB2312"/>
          <w:kern w:val="0"/>
          <w:sz w:val="32"/>
          <w:szCs w:val="32"/>
          <w:u w:val="none" w:color="auto"/>
          <w:lang w:val="en-US" w:eastAsia="zh-CN"/>
        </w:rPr>
        <w:t>190.17万元</w:t>
      </w:r>
      <w:r>
        <w:rPr>
          <w:rFonts w:ascii="FangSong_GB2312" w:hAnsi="FangSong_GB2312" w:eastAsia="FangSong_GB2312" w:cs="FangSong_GB2312"/>
          <w:kern w:val="0"/>
          <w:sz w:val="32"/>
          <w:szCs w:val="32"/>
          <w:u w:val="none" w:color="auto"/>
        </w:rPr>
        <w:t>、公务用车购置</w:t>
      </w:r>
      <w:r>
        <w:rPr>
          <w:rFonts w:hint="eastAsia" w:ascii="FangSong_GB2312" w:hAnsi="FangSong_GB2312" w:eastAsia="FangSong_GB2312" w:cs="FangSong_GB2312"/>
          <w:kern w:val="0"/>
          <w:sz w:val="32"/>
          <w:szCs w:val="32"/>
          <w:u w:val="none" w:color="auto"/>
          <w:lang w:val="en-US" w:eastAsia="zh-CN"/>
        </w:rPr>
        <w:t>17.69万元</w:t>
      </w:r>
      <w:r>
        <w:rPr>
          <w:rFonts w:ascii="FangSong_GB2312" w:hAnsi="FangSong_GB2312" w:eastAsia="FangSong_GB2312" w:cs="FangSong_GB2312"/>
          <w:kern w:val="0"/>
          <w:sz w:val="32"/>
          <w:szCs w:val="32"/>
          <w:u w:val="none" w:color="auto"/>
        </w:rPr>
        <w:t>。</w:t>
      </w:r>
    </w:p>
    <w:p w14:paraId="2152B8C2">
      <w:pPr>
        <w:pStyle w:val="29"/>
        <w:keepNext w:val="0"/>
        <w:keepLines w:val="0"/>
        <w:pageBreakBefore w:val="0"/>
        <w:widowControl/>
        <w:kinsoku/>
        <w:wordWrap/>
        <w:overflowPunct/>
        <w:topLinePunct w:val="0"/>
        <w:autoSpaceDE/>
        <w:autoSpaceDN/>
        <w:bidi w:val="0"/>
        <w:adjustRightInd/>
        <w:snapToGrid/>
        <w:spacing w:line="560" w:lineRule="exact"/>
        <w:ind w:firstLine="643"/>
        <w:jc w:val="left"/>
        <w:textAlignment w:val="auto"/>
        <w:rPr>
          <w:rFonts w:ascii="Times New Roman" w:hAnsi="Times New Roman" w:eastAsia="Times New Roman" w:cs="Times New Roman"/>
          <w:kern w:val="0"/>
          <w:sz w:val="24"/>
          <w:u w:val="none" w:color="auto"/>
        </w:rPr>
      </w:pPr>
      <w:r>
        <w:rPr>
          <w:rFonts w:ascii="黑体" w:hAnsi="黑体" w:eastAsia="黑体" w:cs="黑体"/>
          <w:b/>
          <w:bCs/>
          <w:kern w:val="0"/>
          <w:sz w:val="32"/>
          <w:szCs w:val="32"/>
          <w:u w:val="none" w:color="auto"/>
        </w:rPr>
        <w:t>八、财政拨款</w:t>
      </w:r>
      <w:r>
        <w:rPr>
          <w:rFonts w:ascii="Times New Roman" w:hAnsi="Times New Roman" w:eastAsia="Times New Roman" w:cs="Times New Roman"/>
          <w:b/>
          <w:bCs/>
          <w:kern w:val="0"/>
          <w:sz w:val="32"/>
          <w:szCs w:val="32"/>
          <w:u w:val="none" w:color="auto"/>
          <w:lang w:eastAsia="en-US"/>
        </w:rPr>
        <w:t>“</w:t>
      </w:r>
      <w:r>
        <w:rPr>
          <w:rFonts w:ascii="黑体" w:hAnsi="黑体" w:eastAsia="黑体" w:cs="黑体"/>
          <w:b/>
          <w:bCs/>
          <w:kern w:val="0"/>
          <w:sz w:val="32"/>
          <w:szCs w:val="32"/>
          <w:u w:val="none" w:color="auto"/>
        </w:rPr>
        <w:t>三公</w:t>
      </w:r>
      <w:r>
        <w:rPr>
          <w:rFonts w:ascii="Times New Roman" w:hAnsi="Times New Roman" w:eastAsia="Times New Roman" w:cs="Times New Roman"/>
          <w:b/>
          <w:bCs/>
          <w:kern w:val="0"/>
          <w:sz w:val="32"/>
          <w:szCs w:val="32"/>
          <w:u w:val="none" w:color="auto"/>
          <w:lang w:eastAsia="en-US"/>
        </w:rPr>
        <w:t>”</w:t>
      </w:r>
      <w:r>
        <w:rPr>
          <w:rFonts w:ascii="黑体" w:hAnsi="黑体" w:eastAsia="黑体" w:cs="黑体"/>
          <w:b/>
          <w:bCs/>
          <w:kern w:val="0"/>
          <w:sz w:val="32"/>
          <w:szCs w:val="32"/>
          <w:u w:val="none" w:color="auto"/>
        </w:rPr>
        <w:t>经费支出决算情况说明</w:t>
      </w:r>
    </w:p>
    <w:p w14:paraId="4A7E0948">
      <w:pPr>
        <w:pStyle w:val="29"/>
        <w:keepNext w:val="0"/>
        <w:keepLines w:val="0"/>
        <w:pageBreakBefore w:val="0"/>
        <w:widowControl/>
        <w:kinsoku/>
        <w:wordWrap/>
        <w:overflowPunct/>
        <w:topLinePunct w:val="0"/>
        <w:autoSpaceDE/>
        <w:autoSpaceDN/>
        <w:bidi w:val="0"/>
        <w:adjustRightInd/>
        <w:snapToGrid/>
        <w:spacing w:line="560" w:lineRule="exact"/>
        <w:ind w:firstLine="643"/>
        <w:jc w:val="left"/>
        <w:textAlignment w:val="auto"/>
        <w:rPr>
          <w:rFonts w:hint="eastAsia" w:ascii="方正楷体_GB2312" w:hAnsi="方正楷体_GB2312" w:eastAsia="方正楷体_GB2312" w:cs="方正楷体_GB2312"/>
          <w:b w:val="0"/>
          <w:bCs w:val="0"/>
          <w:color w:val="auto"/>
          <w:kern w:val="0"/>
          <w:sz w:val="32"/>
          <w:szCs w:val="32"/>
          <w:u w:val="none" w:color="auto"/>
          <w:lang w:val="en-US" w:eastAsia="zh-CN" w:bidi="ar-SA"/>
        </w:rPr>
      </w:pPr>
      <w:r>
        <w:rPr>
          <w:rFonts w:hint="eastAsia" w:ascii="方正楷体_GB2312" w:hAnsi="方正楷体_GB2312" w:eastAsia="方正楷体_GB2312" w:cs="方正楷体_GB2312"/>
          <w:b w:val="0"/>
          <w:bCs w:val="0"/>
          <w:color w:val="auto"/>
          <w:kern w:val="0"/>
          <w:sz w:val="32"/>
          <w:szCs w:val="32"/>
          <w:u w:val="none" w:color="auto"/>
          <w:lang w:val="en-US" w:eastAsia="zh-CN" w:bidi="ar-SA"/>
        </w:rPr>
        <w:t>（一）财政拨款</w:t>
      </w:r>
      <w:r>
        <w:rPr>
          <w:rFonts w:hint="eastAsia" w:ascii="方正楷体_GB2312" w:hAnsi="方正楷体_GB2312" w:eastAsia="方正楷体_GB2312" w:cs="方正楷体_GB2312"/>
          <w:b w:val="0"/>
          <w:bCs w:val="0"/>
          <w:color w:val="auto"/>
          <w:kern w:val="0"/>
          <w:sz w:val="32"/>
          <w:szCs w:val="32"/>
          <w:u w:val="none" w:color="auto"/>
          <w:lang w:val="en-US" w:eastAsia="en-US" w:bidi="ar-SA"/>
        </w:rPr>
        <w:t>“</w:t>
      </w:r>
      <w:r>
        <w:rPr>
          <w:rFonts w:hint="eastAsia" w:ascii="方正楷体_GB2312" w:hAnsi="方正楷体_GB2312" w:eastAsia="方正楷体_GB2312" w:cs="方正楷体_GB2312"/>
          <w:b w:val="0"/>
          <w:bCs w:val="0"/>
          <w:color w:val="auto"/>
          <w:kern w:val="0"/>
          <w:sz w:val="32"/>
          <w:szCs w:val="32"/>
          <w:u w:val="none" w:color="auto"/>
          <w:lang w:val="en-US" w:eastAsia="zh-CN" w:bidi="ar-SA"/>
        </w:rPr>
        <w:t>三公</w:t>
      </w:r>
      <w:r>
        <w:rPr>
          <w:rFonts w:hint="eastAsia" w:ascii="方正楷体_GB2312" w:hAnsi="方正楷体_GB2312" w:eastAsia="方正楷体_GB2312" w:cs="方正楷体_GB2312"/>
          <w:b w:val="0"/>
          <w:bCs w:val="0"/>
          <w:color w:val="auto"/>
          <w:kern w:val="0"/>
          <w:sz w:val="32"/>
          <w:szCs w:val="32"/>
          <w:u w:val="none" w:color="auto"/>
          <w:lang w:val="en-US" w:eastAsia="en-US" w:bidi="ar-SA"/>
        </w:rPr>
        <w:t>”</w:t>
      </w:r>
      <w:r>
        <w:rPr>
          <w:rFonts w:hint="eastAsia" w:ascii="方正楷体_GB2312" w:hAnsi="方正楷体_GB2312" w:eastAsia="方正楷体_GB2312" w:cs="方正楷体_GB2312"/>
          <w:b w:val="0"/>
          <w:bCs w:val="0"/>
          <w:color w:val="auto"/>
          <w:kern w:val="0"/>
          <w:sz w:val="32"/>
          <w:szCs w:val="32"/>
          <w:u w:val="none" w:color="auto"/>
          <w:lang w:val="en-US" w:eastAsia="zh-CN" w:bidi="ar-SA"/>
        </w:rPr>
        <w:t>经费支出总体情况说明。</w:t>
      </w:r>
    </w:p>
    <w:p w14:paraId="3BE55F5B">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方正仿宋_GB2312" w:hAnsi="方正仿宋_GB2312" w:eastAsia="方正仿宋_GB2312" w:cs="方正仿宋_GB2312"/>
          <w:kern w:val="0"/>
          <w:sz w:val="32"/>
          <w:szCs w:val="32"/>
          <w:u w:val="none" w:color="auto"/>
        </w:rPr>
      </w:pPr>
      <w:r>
        <w:rPr>
          <w:rFonts w:hint="eastAsia" w:ascii="方正仿宋_GB2312" w:hAnsi="方正仿宋_GB2312" w:eastAsia="方正仿宋_GB2312" w:cs="方正仿宋_GB2312"/>
          <w:kern w:val="0"/>
          <w:sz w:val="32"/>
          <w:szCs w:val="32"/>
          <w:u w:val="none" w:color="auto"/>
        </w:rPr>
        <w:t xml:space="preserve">内蒙古自治区巴彦淖尔市卫生健康委员会（本级） </w:t>
      </w:r>
      <w:r>
        <w:rPr>
          <w:rFonts w:hint="eastAsia" w:ascii="方正仿宋_GB2312" w:hAnsi="方正仿宋_GB2312" w:eastAsia="方正仿宋_GB2312" w:cs="方正仿宋_GB2312"/>
          <w:kern w:val="0"/>
          <w:sz w:val="32"/>
          <w:szCs w:val="32"/>
          <w:u w:val="none" w:color="auto"/>
          <w:lang w:eastAsia="en-US"/>
        </w:rPr>
        <w:t>2025</w:t>
      </w:r>
      <w:r>
        <w:rPr>
          <w:rFonts w:hint="eastAsia" w:ascii="方正仿宋_GB2312" w:hAnsi="方正仿宋_GB2312" w:eastAsia="方正仿宋_GB2312" w:cs="方正仿宋_GB2312"/>
          <w:kern w:val="0"/>
          <w:sz w:val="32"/>
          <w:szCs w:val="32"/>
          <w:u w:val="none" w:color="auto"/>
        </w:rPr>
        <w:t>年度财政拨款“三公”经费全年预算</w:t>
      </w:r>
      <w:r>
        <w:rPr>
          <w:rFonts w:hint="eastAsia" w:ascii="方正仿宋_GB2312" w:hAnsi="方正仿宋_GB2312" w:eastAsia="方正仿宋_GB2312" w:cs="方正仿宋_GB2312"/>
          <w:kern w:val="0"/>
          <w:sz w:val="32"/>
          <w:szCs w:val="32"/>
          <w:u w:val="none" w:color="auto"/>
          <w:lang w:eastAsia="en-US"/>
        </w:rPr>
        <w:t xml:space="preserve"> </w:t>
      </w:r>
      <w:r>
        <w:rPr>
          <w:rFonts w:hint="eastAsia" w:ascii="方正仿宋_GB2312" w:hAnsi="方正仿宋_GB2312" w:eastAsia="方正仿宋_GB2312" w:cs="方正仿宋_GB2312"/>
          <w:kern w:val="0"/>
          <w:sz w:val="32"/>
          <w:szCs w:val="32"/>
          <w:u w:val="none" w:color="auto"/>
          <w:lang w:val="en-US" w:eastAsia="zh-CN"/>
        </w:rPr>
        <w:t>13</w:t>
      </w:r>
      <w:r>
        <w:rPr>
          <w:rFonts w:hint="eastAsia" w:ascii="方正仿宋_GB2312" w:hAnsi="方正仿宋_GB2312" w:eastAsia="方正仿宋_GB2312" w:cs="方正仿宋_GB2312"/>
          <w:kern w:val="0"/>
          <w:sz w:val="32"/>
          <w:szCs w:val="32"/>
          <w:u w:val="none" w:color="auto"/>
        </w:rPr>
        <w:t>万元，支出决算</w:t>
      </w:r>
      <w:r>
        <w:rPr>
          <w:rFonts w:hint="eastAsia" w:ascii="方正仿宋_GB2312" w:hAnsi="方正仿宋_GB2312" w:eastAsia="方正仿宋_GB2312" w:cs="方正仿宋_GB2312"/>
          <w:kern w:val="0"/>
          <w:sz w:val="32"/>
          <w:szCs w:val="32"/>
          <w:u w:val="none" w:color="auto"/>
          <w:lang w:eastAsia="en-US"/>
        </w:rPr>
        <w:t xml:space="preserve"> 29.07</w:t>
      </w:r>
      <w:r>
        <w:rPr>
          <w:rFonts w:hint="eastAsia" w:ascii="方正仿宋_GB2312" w:hAnsi="方正仿宋_GB2312" w:eastAsia="方正仿宋_GB2312" w:cs="方正仿宋_GB2312"/>
          <w:kern w:val="0"/>
          <w:sz w:val="32"/>
          <w:szCs w:val="32"/>
          <w:u w:val="none" w:color="auto"/>
        </w:rPr>
        <w:t>万元，完成预算的</w:t>
      </w:r>
      <w:r>
        <w:rPr>
          <w:rFonts w:hint="eastAsia" w:ascii="方正仿宋_GB2312" w:hAnsi="方正仿宋_GB2312" w:eastAsia="方正仿宋_GB2312" w:cs="方正仿宋_GB2312"/>
          <w:kern w:val="0"/>
          <w:sz w:val="32"/>
          <w:szCs w:val="32"/>
          <w:u w:val="none" w:color="auto"/>
          <w:lang w:val="en-US" w:eastAsia="zh-CN"/>
        </w:rPr>
        <w:t>223.62</w:t>
      </w:r>
      <w:r>
        <w:rPr>
          <w:rFonts w:hint="eastAsia" w:ascii="方正仿宋_GB2312" w:hAnsi="方正仿宋_GB2312" w:eastAsia="方正仿宋_GB2312" w:cs="方正仿宋_GB2312"/>
          <w:kern w:val="0"/>
          <w:sz w:val="32"/>
          <w:szCs w:val="32"/>
          <w:u w:val="none" w:color="auto"/>
          <w:lang w:eastAsia="en-US"/>
        </w:rPr>
        <w:t>%</w:t>
      </w:r>
      <w:r>
        <w:rPr>
          <w:rFonts w:hint="eastAsia" w:ascii="方正仿宋_GB2312" w:hAnsi="方正仿宋_GB2312" w:eastAsia="方正仿宋_GB2312" w:cs="方正仿宋_GB2312"/>
          <w:kern w:val="0"/>
          <w:sz w:val="32"/>
          <w:szCs w:val="32"/>
          <w:u w:val="none" w:color="auto"/>
        </w:rPr>
        <w:t>。其中：因公出国（境）费全年预算</w:t>
      </w:r>
      <w:r>
        <w:rPr>
          <w:rFonts w:hint="eastAsia" w:ascii="方正仿宋_GB2312" w:hAnsi="方正仿宋_GB2312" w:eastAsia="方正仿宋_GB2312" w:cs="方正仿宋_GB2312"/>
          <w:kern w:val="0"/>
          <w:sz w:val="32"/>
          <w:szCs w:val="32"/>
          <w:u w:val="none" w:color="auto"/>
          <w:lang w:eastAsia="en-US"/>
        </w:rPr>
        <w:t xml:space="preserve"> </w:t>
      </w:r>
      <w:r>
        <w:rPr>
          <w:rFonts w:hint="eastAsia" w:ascii="方正仿宋_GB2312" w:hAnsi="方正仿宋_GB2312" w:eastAsia="方正仿宋_GB2312" w:cs="方正仿宋_GB2312"/>
          <w:kern w:val="0"/>
          <w:sz w:val="32"/>
          <w:szCs w:val="32"/>
          <w:u w:val="none" w:color="auto"/>
          <w:lang w:val="en-US" w:eastAsia="zh-CN"/>
        </w:rPr>
        <w:t>0</w:t>
      </w:r>
      <w:r>
        <w:rPr>
          <w:rFonts w:hint="eastAsia" w:ascii="方正仿宋_GB2312" w:hAnsi="方正仿宋_GB2312" w:eastAsia="方正仿宋_GB2312" w:cs="方正仿宋_GB2312"/>
          <w:kern w:val="0"/>
          <w:sz w:val="32"/>
          <w:szCs w:val="32"/>
          <w:u w:val="none" w:color="auto"/>
        </w:rPr>
        <w:t>万元，支出决算</w:t>
      </w:r>
      <w:r>
        <w:rPr>
          <w:rFonts w:hint="eastAsia" w:ascii="方正仿宋_GB2312" w:hAnsi="方正仿宋_GB2312" w:eastAsia="方正仿宋_GB2312" w:cs="方正仿宋_GB2312"/>
          <w:kern w:val="0"/>
          <w:sz w:val="32"/>
          <w:szCs w:val="32"/>
          <w:u w:val="none" w:color="auto"/>
          <w:lang w:eastAsia="en-US"/>
        </w:rPr>
        <w:t xml:space="preserve"> 1.72</w:t>
      </w:r>
      <w:r>
        <w:rPr>
          <w:rFonts w:hint="eastAsia" w:ascii="方正仿宋_GB2312" w:hAnsi="方正仿宋_GB2312" w:eastAsia="方正仿宋_GB2312" w:cs="方正仿宋_GB2312"/>
          <w:kern w:val="0"/>
          <w:sz w:val="32"/>
          <w:szCs w:val="32"/>
          <w:u w:val="none" w:color="auto"/>
        </w:rPr>
        <w:t>万元，完成预算的</w:t>
      </w:r>
      <w:r>
        <w:rPr>
          <w:rFonts w:hint="eastAsia" w:ascii="方正仿宋_GB2312" w:hAnsi="方正仿宋_GB2312" w:eastAsia="方正仿宋_GB2312" w:cs="方正仿宋_GB2312"/>
          <w:kern w:val="0"/>
          <w:sz w:val="32"/>
          <w:szCs w:val="32"/>
          <w:u w:val="none" w:color="auto"/>
          <w:lang w:eastAsia="en-US"/>
        </w:rPr>
        <w:t xml:space="preserve"> </w:t>
      </w:r>
      <w:r>
        <w:rPr>
          <w:rFonts w:hint="eastAsia" w:ascii="方正仿宋_GB2312" w:hAnsi="方正仿宋_GB2312" w:eastAsia="方正仿宋_GB2312" w:cs="方正仿宋_GB2312"/>
          <w:kern w:val="0"/>
          <w:sz w:val="32"/>
          <w:szCs w:val="32"/>
          <w:u w:val="none" w:color="auto"/>
          <w:lang w:val="en-US" w:eastAsia="zh-CN"/>
        </w:rPr>
        <w:t>0</w:t>
      </w:r>
      <w:r>
        <w:rPr>
          <w:rFonts w:hint="eastAsia" w:ascii="方正仿宋_GB2312" w:hAnsi="方正仿宋_GB2312" w:eastAsia="方正仿宋_GB2312" w:cs="方正仿宋_GB2312"/>
          <w:kern w:val="0"/>
          <w:sz w:val="32"/>
          <w:szCs w:val="32"/>
          <w:u w:val="none" w:color="auto"/>
          <w:lang w:eastAsia="en-US"/>
        </w:rPr>
        <w:t>%</w:t>
      </w:r>
      <w:r>
        <w:rPr>
          <w:rFonts w:hint="eastAsia" w:ascii="方正仿宋_GB2312" w:hAnsi="方正仿宋_GB2312" w:eastAsia="方正仿宋_GB2312" w:cs="方正仿宋_GB2312"/>
          <w:kern w:val="0"/>
          <w:sz w:val="32"/>
          <w:szCs w:val="32"/>
          <w:u w:val="none" w:color="auto"/>
        </w:rPr>
        <w:t>；公务用车购置及运行维护费全年预算</w:t>
      </w:r>
      <w:r>
        <w:rPr>
          <w:rFonts w:hint="eastAsia" w:ascii="方正仿宋_GB2312" w:hAnsi="方正仿宋_GB2312" w:eastAsia="方正仿宋_GB2312" w:cs="方正仿宋_GB2312"/>
          <w:kern w:val="0"/>
          <w:sz w:val="32"/>
          <w:szCs w:val="32"/>
          <w:u w:val="none" w:color="auto"/>
          <w:lang w:eastAsia="en-US"/>
        </w:rPr>
        <w:t xml:space="preserve"> </w:t>
      </w:r>
      <w:r>
        <w:rPr>
          <w:rFonts w:hint="eastAsia" w:ascii="方正仿宋_GB2312" w:hAnsi="方正仿宋_GB2312" w:eastAsia="方正仿宋_GB2312" w:cs="方正仿宋_GB2312"/>
          <w:kern w:val="0"/>
          <w:sz w:val="32"/>
          <w:szCs w:val="32"/>
          <w:u w:val="none" w:color="auto"/>
          <w:lang w:val="en-US" w:eastAsia="zh-CN"/>
        </w:rPr>
        <w:t>11</w:t>
      </w:r>
      <w:r>
        <w:rPr>
          <w:rFonts w:hint="eastAsia" w:ascii="方正仿宋_GB2312" w:hAnsi="方正仿宋_GB2312" w:eastAsia="方正仿宋_GB2312" w:cs="方正仿宋_GB2312"/>
          <w:kern w:val="0"/>
          <w:sz w:val="32"/>
          <w:szCs w:val="32"/>
          <w:u w:val="none" w:color="auto"/>
        </w:rPr>
        <w:t>万元，支出决算</w:t>
      </w:r>
      <w:r>
        <w:rPr>
          <w:rFonts w:hint="eastAsia" w:ascii="方正仿宋_GB2312" w:hAnsi="方正仿宋_GB2312" w:eastAsia="方正仿宋_GB2312" w:cs="方正仿宋_GB2312"/>
          <w:kern w:val="0"/>
          <w:sz w:val="32"/>
          <w:szCs w:val="32"/>
          <w:u w:val="none" w:color="auto"/>
          <w:lang w:eastAsia="en-US"/>
        </w:rPr>
        <w:t xml:space="preserve"> 26.50</w:t>
      </w:r>
      <w:r>
        <w:rPr>
          <w:rFonts w:hint="eastAsia" w:ascii="方正仿宋_GB2312" w:hAnsi="方正仿宋_GB2312" w:eastAsia="方正仿宋_GB2312" w:cs="方正仿宋_GB2312"/>
          <w:kern w:val="0"/>
          <w:sz w:val="32"/>
          <w:szCs w:val="32"/>
          <w:u w:val="none" w:color="auto"/>
        </w:rPr>
        <w:t>万元，完成预算的</w:t>
      </w:r>
      <w:r>
        <w:rPr>
          <w:rFonts w:hint="eastAsia" w:ascii="方正仿宋_GB2312" w:hAnsi="方正仿宋_GB2312" w:eastAsia="方正仿宋_GB2312" w:cs="方正仿宋_GB2312"/>
          <w:kern w:val="0"/>
          <w:sz w:val="32"/>
          <w:szCs w:val="32"/>
          <w:u w:val="none" w:color="auto"/>
          <w:lang w:eastAsia="en-US"/>
        </w:rPr>
        <w:t xml:space="preserve"> </w:t>
      </w:r>
      <w:r>
        <w:rPr>
          <w:rFonts w:hint="eastAsia" w:ascii="方正仿宋_GB2312" w:hAnsi="方正仿宋_GB2312" w:eastAsia="方正仿宋_GB2312" w:cs="方正仿宋_GB2312"/>
          <w:kern w:val="0"/>
          <w:sz w:val="32"/>
          <w:szCs w:val="32"/>
          <w:u w:val="none" w:color="auto"/>
          <w:lang w:val="en-US" w:eastAsia="zh-CN"/>
        </w:rPr>
        <w:t>240.91</w:t>
      </w:r>
      <w:r>
        <w:rPr>
          <w:rFonts w:hint="eastAsia" w:ascii="方正仿宋_GB2312" w:hAnsi="方正仿宋_GB2312" w:eastAsia="方正仿宋_GB2312" w:cs="方正仿宋_GB2312"/>
          <w:kern w:val="0"/>
          <w:sz w:val="32"/>
          <w:szCs w:val="32"/>
          <w:u w:val="none" w:color="auto"/>
          <w:lang w:eastAsia="en-US"/>
        </w:rPr>
        <w:t>%</w:t>
      </w:r>
      <w:r>
        <w:rPr>
          <w:rFonts w:hint="eastAsia" w:ascii="方正仿宋_GB2312" w:hAnsi="方正仿宋_GB2312" w:eastAsia="方正仿宋_GB2312" w:cs="方正仿宋_GB2312"/>
          <w:kern w:val="0"/>
          <w:sz w:val="32"/>
          <w:szCs w:val="32"/>
          <w:u w:val="none" w:color="auto"/>
        </w:rPr>
        <w:t>；公务接待费全年预算</w:t>
      </w:r>
      <w:r>
        <w:rPr>
          <w:rFonts w:hint="eastAsia" w:ascii="方正仿宋_GB2312" w:hAnsi="方正仿宋_GB2312" w:eastAsia="方正仿宋_GB2312" w:cs="方正仿宋_GB2312"/>
          <w:kern w:val="0"/>
          <w:sz w:val="32"/>
          <w:szCs w:val="32"/>
          <w:u w:val="none" w:color="auto"/>
          <w:lang w:eastAsia="en-US"/>
        </w:rPr>
        <w:t xml:space="preserve"> </w:t>
      </w:r>
      <w:r>
        <w:rPr>
          <w:rFonts w:hint="eastAsia" w:ascii="方正仿宋_GB2312" w:hAnsi="方正仿宋_GB2312" w:eastAsia="方正仿宋_GB2312" w:cs="方正仿宋_GB2312"/>
          <w:kern w:val="0"/>
          <w:sz w:val="32"/>
          <w:szCs w:val="32"/>
          <w:u w:val="none" w:color="auto"/>
          <w:lang w:val="en-US" w:eastAsia="zh-CN"/>
        </w:rPr>
        <w:t>2</w:t>
      </w:r>
      <w:r>
        <w:rPr>
          <w:rFonts w:hint="eastAsia" w:ascii="方正仿宋_GB2312" w:hAnsi="方正仿宋_GB2312" w:eastAsia="方正仿宋_GB2312" w:cs="方正仿宋_GB2312"/>
          <w:kern w:val="0"/>
          <w:sz w:val="32"/>
          <w:szCs w:val="32"/>
          <w:u w:val="none" w:color="auto"/>
        </w:rPr>
        <w:t>万元，支出决算</w:t>
      </w:r>
      <w:r>
        <w:rPr>
          <w:rFonts w:hint="eastAsia" w:ascii="方正仿宋_GB2312" w:hAnsi="方正仿宋_GB2312" w:eastAsia="方正仿宋_GB2312" w:cs="方正仿宋_GB2312"/>
          <w:kern w:val="0"/>
          <w:sz w:val="32"/>
          <w:szCs w:val="32"/>
          <w:u w:val="none" w:color="auto"/>
          <w:lang w:eastAsia="en-US"/>
        </w:rPr>
        <w:t xml:space="preserve"> 0.85</w:t>
      </w:r>
      <w:r>
        <w:rPr>
          <w:rFonts w:hint="eastAsia" w:ascii="方正仿宋_GB2312" w:hAnsi="方正仿宋_GB2312" w:eastAsia="方正仿宋_GB2312" w:cs="方正仿宋_GB2312"/>
          <w:kern w:val="0"/>
          <w:sz w:val="32"/>
          <w:szCs w:val="32"/>
          <w:u w:val="none" w:color="auto"/>
        </w:rPr>
        <w:t>万元，完成预算的</w:t>
      </w:r>
      <w:r>
        <w:rPr>
          <w:rFonts w:hint="eastAsia" w:ascii="方正仿宋_GB2312" w:hAnsi="方正仿宋_GB2312" w:eastAsia="方正仿宋_GB2312" w:cs="方正仿宋_GB2312"/>
          <w:kern w:val="0"/>
          <w:sz w:val="32"/>
          <w:szCs w:val="32"/>
          <w:u w:val="none" w:color="auto"/>
          <w:lang w:eastAsia="en-US"/>
        </w:rPr>
        <w:t xml:space="preserve"> </w:t>
      </w:r>
      <w:r>
        <w:rPr>
          <w:rFonts w:hint="eastAsia" w:ascii="方正仿宋_GB2312" w:hAnsi="方正仿宋_GB2312" w:eastAsia="方正仿宋_GB2312" w:cs="方正仿宋_GB2312"/>
          <w:kern w:val="0"/>
          <w:sz w:val="32"/>
          <w:szCs w:val="32"/>
          <w:u w:val="none" w:color="auto"/>
          <w:lang w:val="en-US" w:eastAsia="zh-CN"/>
        </w:rPr>
        <w:t>42.5</w:t>
      </w:r>
      <w:r>
        <w:rPr>
          <w:rFonts w:hint="eastAsia" w:ascii="方正仿宋_GB2312" w:hAnsi="方正仿宋_GB2312" w:eastAsia="方正仿宋_GB2312" w:cs="方正仿宋_GB2312"/>
          <w:kern w:val="0"/>
          <w:sz w:val="32"/>
          <w:szCs w:val="32"/>
          <w:u w:val="none" w:color="auto"/>
          <w:lang w:eastAsia="en-US"/>
        </w:rPr>
        <w:t>%</w:t>
      </w:r>
      <w:r>
        <w:rPr>
          <w:rFonts w:hint="eastAsia" w:ascii="方正仿宋_GB2312" w:hAnsi="方正仿宋_GB2312" w:eastAsia="方正仿宋_GB2312" w:cs="方正仿宋_GB2312"/>
          <w:kern w:val="0"/>
          <w:sz w:val="32"/>
          <w:szCs w:val="32"/>
          <w:u w:val="none" w:color="auto"/>
        </w:rPr>
        <w:t>。</w:t>
      </w:r>
      <w:r>
        <w:rPr>
          <w:rFonts w:hint="eastAsia" w:ascii="方正仿宋_GB2312" w:hAnsi="方正仿宋_GB2312" w:eastAsia="方正仿宋_GB2312" w:cs="方正仿宋_GB2312"/>
          <w:kern w:val="0"/>
          <w:sz w:val="32"/>
          <w:szCs w:val="32"/>
          <w:u w:val="none" w:color="auto"/>
          <w:lang w:eastAsia="en-US"/>
        </w:rPr>
        <w:t>2025</w:t>
      </w:r>
      <w:r>
        <w:rPr>
          <w:rFonts w:hint="eastAsia" w:ascii="方正仿宋_GB2312" w:hAnsi="方正仿宋_GB2312" w:eastAsia="方正仿宋_GB2312" w:cs="方正仿宋_GB2312"/>
          <w:kern w:val="0"/>
          <w:sz w:val="32"/>
          <w:szCs w:val="32"/>
          <w:u w:val="none" w:color="auto"/>
        </w:rPr>
        <w:t>年度一般公共预算财政拨款“三公”经费全年预算</w:t>
      </w:r>
      <w:r>
        <w:rPr>
          <w:rFonts w:hint="eastAsia" w:ascii="方正仿宋_GB2312" w:hAnsi="方正仿宋_GB2312" w:eastAsia="方正仿宋_GB2312" w:cs="方正仿宋_GB2312"/>
          <w:kern w:val="0"/>
          <w:sz w:val="32"/>
          <w:szCs w:val="32"/>
          <w:u w:val="none" w:color="auto"/>
          <w:lang w:val="en-US" w:eastAsia="zh-CN"/>
        </w:rPr>
        <w:t>13</w:t>
      </w:r>
      <w:r>
        <w:rPr>
          <w:rFonts w:hint="eastAsia" w:ascii="方正仿宋_GB2312" w:hAnsi="方正仿宋_GB2312" w:eastAsia="方正仿宋_GB2312" w:cs="方正仿宋_GB2312"/>
          <w:kern w:val="0"/>
          <w:sz w:val="32"/>
          <w:szCs w:val="32"/>
          <w:u w:val="none" w:color="auto"/>
        </w:rPr>
        <w:t>万元，支出决算</w:t>
      </w:r>
      <w:r>
        <w:rPr>
          <w:rFonts w:hint="eastAsia" w:ascii="方正仿宋_GB2312" w:hAnsi="方正仿宋_GB2312" w:eastAsia="方正仿宋_GB2312" w:cs="方正仿宋_GB2312"/>
          <w:kern w:val="0"/>
          <w:sz w:val="32"/>
          <w:szCs w:val="32"/>
          <w:u w:val="none" w:color="auto"/>
          <w:lang w:eastAsia="en-US"/>
        </w:rPr>
        <w:t xml:space="preserve"> 29.07</w:t>
      </w:r>
      <w:r>
        <w:rPr>
          <w:rFonts w:hint="eastAsia" w:ascii="方正仿宋_GB2312" w:hAnsi="方正仿宋_GB2312" w:eastAsia="方正仿宋_GB2312" w:cs="方正仿宋_GB2312"/>
          <w:kern w:val="0"/>
          <w:sz w:val="32"/>
          <w:szCs w:val="32"/>
          <w:u w:val="none" w:color="auto"/>
        </w:rPr>
        <w:t>万元，与预算差异原因</w:t>
      </w:r>
      <w:r>
        <w:rPr>
          <w:rFonts w:hint="eastAsia" w:ascii="方正仿宋_GB2312" w:hAnsi="方正仿宋_GB2312" w:eastAsia="方正仿宋_GB2312" w:cs="方正仿宋_GB2312"/>
          <w:kern w:val="0"/>
          <w:sz w:val="32"/>
          <w:szCs w:val="32"/>
          <w:u w:val="none" w:color="auto"/>
          <w:lang w:eastAsia="zh-CN"/>
        </w:rPr>
        <w:t>本年购置公务用车一辆</w:t>
      </w:r>
      <w:r>
        <w:rPr>
          <w:rFonts w:hint="eastAsia" w:ascii="方正仿宋_GB2312" w:hAnsi="方正仿宋_GB2312" w:eastAsia="方正仿宋_GB2312" w:cs="方正仿宋_GB2312"/>
          <w:kern w:val="0"/>
          <w:sz w:val="32"/>
          <w:szCs w:val="32"/>
          <w:u w:val="none" w:color="auto"/>
        </w:rPr>
        <w:t>。</w:t>
      </w:r>
    </w:p>
    <w:p w14:paraId="261789CE">
      <w:pPr>
        <w:pStyle w:val="29"/>
        <w:keepNext w:val="0"/>
        <w:keepLines w:val="0"/>
        <w:pageBreakBefore w:val="0"/>
        <w:widowControl/>
        <w:kinsoku/>
        <w:wordWrap/>
        <w:overflowPunct/>
        <w:topLinePunct w:val="0"/>
        <w:autoSpaceDE/>
        <w:autoSpaceDN/>
        <w:bidi w:val="0"/>
        <w:adjustRightInd/>
        <w:snapToGrid/>
        <w:spacing w:line="560" w:lineRule="exact"/>
        <w:ind w:firstLine="643"/>
        <w:jc w:val="left"/>
        <w:textAlignment w:val="auto"/>
        <w:rPr>
          <w:rFonts w:hint="eastAsia" w:ascii="方正楷体_GB2312" w:hAnsi="方正楷体_GB2312" w:eastAsia="方正楷体_GB2312" w:cs="方正楷体_GB2312"/>
          <w:b w:val="0"/>
          <w:bCs w:val="0"/>
          <w:color w:val="auto"/>
          <w:kern w:val="0"/>
          <w:sz w:val="32"/>
          <w:szCs w:val="32"/>
          <w:u w:val="none" w:color="auto"/>
          <w:lang w:val="en-US" w:eastAsia="zh-CN" w:bidi="ar-SA"/>
        </w:rPr>
      </w:pPr>
      <w:r>
        <w:rPr>
          <w:rFonts w:hint="eastAsia" w:ascii="方正楷体_GB2312" w:hAnsi="方正楷体_GB2312" w:eastAsia="方正楷体_GB2312" w:cs="方正楷体_GB2312"/>
          <w:b w:val="0"/>
          <w:bCs w:val="0"/>
          <w:color w:val="auto"/>
          <w:kern w:val="0"/>
          <w:sz w:val="32"/>
          <w:szCs w:val="32"/>
          <w:u w:val="none" w:color="auto"/>
          <w:lang w:val="en-US" w:eastAsia="zh-CN" w:bidi="ar-SA"/>
        </w:rPr>
        <w:t>（二）财政拨款</w:t>
      </w:r>
      <w:r>
        <w:rPr>
          <w:rFonts w:hint="eastAsia" w:ascii="方正楷体_GB2312" w:hAnsi="方正楷体_GB2312" w:eastAsia="方正楷体_GB2312" w:cs="方正楷体_GB2312"/>
          <w:b w:val="0"/>
          <w:bCs w:val="0"/>
          <w:color w:val="auto"/>
          <w:kern w:val="0"/>
          <w:sz w:val="32"/>
          <w:szCs w:val="32"/>
          <w:u w:val="none" w:color="auto"/>
          <w:lang w:val="en-US" w:eastAsia="en-US" w:bidi="ar-SA"/>
        </w:rPr>
        <w:t>“</w:t>
      </w:r>
      <w:r>
        <w:rPr>
          <w:rFonts w:hint="eastAsia" w:ascii="方正楷体_GB2312" w:hAnsi="方正楷体_GB2312" w:eastAsia="方正楷体_GB2312" w:cs="方正楷体_GB2312"/>
          <w:b w:val="0"/>
          <w:bCs w:val="0"/>
          <w:color w:val="auto"/>
          <w:kern w:val="0"/>
          <w:sz w:val="32"/>
          <w:szCs w:val="32"/>
          <w:u w:val="none" w:color="auto"/>
          <w:lang w:val="en-US" w:eastAsia="zh-CN" w:bidi="ar-SA"/>
        </w:rPr>
        <w:t>三公</w:t>
      </w:r>
      <w:r>
        <w:rPr>
          <w:rFonts w:hint="eastAsia" w:ascii="方正楷体_GB2312" w:hAnsi="方正楷体_GB2312" w:eastAsia="方正楷体_GB2312" w:cs="方正楷体_GB2312"/>
          <w:b w:val="0"/>
          <w:bCs w:val="0"/>
          <w:color w:val="auto"/>
          <w:kern w:val="0"/>
          <w:sz w:val="32"/>
          <w:szCs w:val="32"/>
          <w:u w:val="none" w:color="auto"/>
          <w:lang w:val="en-US" w:eastAsia="en-US" w:bidi="ar-SA"/>
        </w:rPr>
        <w:t>”</w:t>
      </w:r>
      <w:r>
        <w:rPr>
          <w:rFonts w:hint="eastAsia" w:ascii="方正楷体_GB2312" w:hAnsi="方正楷体_GB2312" w:eastAsia="方正楷体_GB2312" w:cs="方正楷体_GB2312"/>
          <w:b w:val="0"/>
          <w:bCs w:val="0"/>
          <w:color w:val="auto"/>
          <w:kern w:val="0"/>
          <w:sz w:val="32"/>
          <w:szCs w:val="32"/>
          <w:u w:val="none" w:color="auto"/>
          <w:lang w:val="en-US" w:eastAsia="zh-CN" w:bidi="ar-SA"/>
        </w:rPr>
        <w:t>经费支出具体情况说明。</w:t>
      </w:r>
    </w:p>
    <w:p w14:paraId="23CF0C74">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方正仿宋_GB2312" w:hAnsi="方正仿宋_GB2312" w:eastAsia="方正仿宋_GB2312" w:cs="方正仿宋_GB2312"/>
          <w:kern w:val="0"/>
          <w:sz w:val="32"/>
          <w:szCs w:val="32"/>
          <w:u w:val="none" w:color="auto"/>
        </w:rPr>
      </w:pPr>
      <w:r>
        <w:rPr>
          <w:rFonts w:hint="eastAsia" w:ascii="方正仿宋_GB2312" w:hAnsi="方正仿宋_GB2312" w:eastAsia="方正仿宋_GB2312" w:cs="方正仿宋_GB2312"/>
          <w:kern w:val="0"/>
          <w:sz w:val="32"/>
          <w:szCs w:val="32"/>
          <w:u w:val="none" w:color="auto"/>
        </w:rPr>
        <w:t xml:space="preserve">内蒙古自治区巴彦淖尔市卫生健康委员会（本级） </w:t>
      </w:r>
      <w:r>
        <w:rPr>
          <w:rFonts w:hint="eastAsia" w:ascii="方正仿宋_GB2312" w:hAnsi="方正仿宋_GB2312" w:eastAsia="方正仿宋_GB2312" w:cs="方正仿宋_GB2312"/>
          <w:kern w:val="0"/>
          <w:sz w:val="32"/>
          <w:szCs w:val="32"/>
          <w:u w:val="none" w:color="auto"/>
          <w:lang w:eastAsia="en-US"/>
        </w:rPr>
        <w:t>2025</w:t>
      </w:r>
      <w:r>
        <w:rPr>
          <w:rFonts w:hint="eastAsia" w:ascii="方正仿宋_GB2312" w:hAnsi="方正仿宋_GB2312" w:eastAsia="方正仿宋_GB2312" w:cs="方正仿宋_GB2312"/>
          <w:kern w:val="0"/>
          <w:sz w:val="32"/>
          <w:szCs w:val="32"/>
          <w:u w:val="none" w:color="auto"/>
        </w:rPr>
        <w:t>年度财政拨款“三公”经费支出</w:t>
      </w:r>
      <w:r>
        <w:rPr>
          <w:rFonts w:hint="eastAsia" w:ascii="方正仿宋_GB2312" w:hAnsi="方正仿宋_GB2312" w:eastAsia="方正仿宋_GB2312" w:cs="方正仿宋_GB2312"/>
          <w:kern w:val="0"/>
          <w:sz w:val="32"/>
          <w:szCs w:val="32"/>
          <w:u w:val="none" w:color="auto"/>
          <w:lang w:eastAsia="en-US"/>
        </w:rPr>
        <w:t xml:space="preserve"> 29.07</w:t>
      </w:r>
      <w:r>
        <w:rPr>
          <w:rFonts w:hint="eastAsia" w:ascii="方正仿宋_GB2312" w:hAnsi="方正仿宋_GB2312" w:eastAsia="方正仿宋_GB2312" w:cs="方正仿宋_GB2312"/>
          <w:kern w:val="0"/>
          <w:sz w:val="32"/>
          <w:szCs w:val="32"/>
          <w:u w:val="none" w:color="auto"/>
        </w:rPr>
        <w:t>万元。因公出国（境）费支出</w:t>
      </w:r>
      <w:r>
        <w:rPr>
          <w:rFonts w:hint="eastAsia" w:ascii="方正仿宋_GB2312" w:hAnsi="方正仿宋_GB2312" w:eastAsia="方正仿宋_GB2312" w:cs="方正仿宋_GB2312"/>
          <w:kern w:val="0"/>
          <w:sz w:val="32"/>
          <w:szCs w:val="32"/>
          <w:u w:val="none" w:color="auto"/>
          <w:lang w:eastAsia="en-US"/>
        </w:rPr>
        <w:t xml:space="preserve"> 1.72</w:t>
      </w:r>
      <w:r>
        <w:rPr>
          <w:rFonts w:hint="eastAsia" w:ascii="方正仿宋_GB2312" w:hAnsi="方正仿宋_GB2312" w:eastAsia="方正仿宋_GB2312" w:cs="方正仿宋_GB2312"/>
          <w:kern w:val="0"/>
          <w:sz w:val="32"/>
          <w:szCs w:val="32"/>
          <w:u w:val="none" w:color="auto"/>
        </w:rPr>
        <w:t>万元，占</w:t>
      </w:r>
      <w:r>
        <w:rPr>
          <w:rFonts w:hint="eastAsia" w:ascii="方正仿宋_GB2312" w:hAnsi="方正仿宋_GB2312" w:eastAsia="方正仿宋_GB2312" w:cs="方正仿宋_GB2312"/>
          <w:kern w:val="0"/>
          <w:sz w:val="32"/>
          <w:szCs w:val="32"/>
          <w:u w:val="none" w:color="auto"/>
          <w:lang w:eastAsia="en-US"/>
        </w:rPr>
        <w:t xml:space="preserve"> 5.91%</w:t>
      </w:r>
      <w:r>
        <w:rPr>
          <w:rFonts w:hint="eastAsia" w:ascii="方正仿宋_GB2312" w:hAnsi="方正仿宋_GB2312" w:eastAsia="方正仿宋_GB2312" w:cs="方正仿宋_GB2312"/>
          <w:kern w:val="0"/>
          <w:sz w:val="32"/>
          <w:szCs w:val="32"/>
          <w:u w:val="none" w:color="auto"/>
        </w:rPr>
        <w:t>；公务用车购置及运行维护费支出</w:t>
      </w:r>
      <w:r>
        <w:rPr>
          <w:rFonts w:hint="eastAsia" w:ascii="方正仿宋_GB2312" w:hAnsi="方正仿宋_GB2312" w:eastAsia="方正仿宋_GB2312" w:cs="方正仿宋_GB2312"/>
          <w:kern w:val="0"/>
          <w:sz w:val="32"/>
          <w:szCs w:val="32"/>
          <w:u w:val="none" w:color="auto"/>
          <w:lang w:eastAsia="en-US"/>
        </w:rPr>
        <w:t xml:space="preserve"> 26.50</w:t>
      </w:r>
      <w:r>
        <w:rPr>
          <w:rFonts w:hint="eastAsia" w:ascii="方正仿宋_GB2312" w:hAnsi="方正仿宋_GB2312" w:eastAsia="方正仿宋_GB2312" w:cs="方正仿宋_GB2312"/>
          <w:kern w:val="0"/>
          <w:sz w:val="32"/>
          <w:szCs w:val="32"/>
          <w:u w:val="none" w:color="auto"/>
        </w:rPr>
        <w:t>万元，占</w:t>
      </w:r>
      <w:r>
        <w:rPr>
          <w:rFonts w:hint="eastAsia" w:ascii="方正仿宋_GB2312" w:hAnsi="方正仿宋_GB2312" w:eastAsia="方正仿宋_GB2312" w:cs="方正仿宋_GB2312"/>
          <w:kern w:val="0"/>
          <w:sz w:val="32"/>
          <w:szCs w:val="32"/>
          <w:u w:val="none" w:color="auto"/>
          <w:lang w:eastAsia="en-US"/>
        </w:rPr>
        <w:t xml:space="preserve"> 91.17%</w:t>
      </w:r>
      <w:r>
        <w:rPr>
          <w:rFonts w:hint="eastAsia" w:ascii="方正仿宋_GB2312" w:hAnsi="方正仿宋_GB2312" w:eastAsia="方正仿宋_GB2312" w:cs="方正仿宋_GB2312"/>
          <w:kern w:val="0"/>
          <w:sz w:val="32"/>
          <w:szCs w:val="32"/>
          <w:u w:val="none" w:color="auto"/>
        </w:rPr>
        <w:t>；公务接待费支出</w:t>
      </w:r>
      <w:r>
        <w:rPr>
          <w:rFonts w:hint="eastAsia" w:ascii="方正仿宋_GB2312" w:hAnsi="方正仿宋_GB2312" w:eastAsia="方正仿宋_GB2312" w:cs="方正仿宋_GB2312"/>
          <w:kern w:val="0"/>
          <w:sz w:val="32"/>
          <w:szCs w:val="32"/>
          <w:u w:val="none" w:color="auto"/>
          <w:lang w:eastAsia="en-US"/>
        </w:rPr>
        <w:t xml:space="preserve"> 0.85</w:t>
      </w:r>
      <w:r>
        <w:rPr>
          <w:rFonts w:hint="eastAsia" w:ascii="方正仿宋_GB2312" w:hAnsi="方正仿宋_GB2312" w:eastAsia="方正仿宋_GB2312" w:cs="方正仿宋_GB2312"/>
          <w:kern w:val="0"/>
          <w:sz w:val="32"/>
          <w:szCs w:val="32"/>
          <w:u w:val="none" w:color="auto"/>
        </w:rPr>
        <w:t>万元，占</w:t>
      </w:r>
      <w:r>
        <w:rPr>
          <w:rFonts w:hint="eastAsia" w:ascii="方正仿宋_GB2312" w:hAnsi="方正仿宋_GB2312" w:eastAsia="方正仿宋_GB2312" w:cs="方正仿宋_GB2312"/>
          <w:kern w:val="0"/>
          <w:sz w:val="32"/>
          <w:szCs w:val="32"/>
          <w:u w:val="none" w:color="auto"/>
          <w:lang w:eastAsia="en-US"/>
        </w:rPr>
        <w:t xml:space="preserve"> 2.93%</w:t>
      </w:r>
      <w:r>
        <w:rPr>
          <w:rFonts w:hint="eastAsia" w:ascii="方正仿宋_GB2312" w:hAnsi="方正仿宋_GB2312" w:eastAsia="方正仿宋_GB2312" w:cs="方正仿宋_GB2312"/>
          <w:kern w:val="0"/>
          <w:sz w:val="32"/>
          <w:szCs w:val="32"/>
          <w:u w:val="none" w:color="auto"/>
        </w:rPr>
        <w:t>。其中：</w:t>
      </w:r>
    </w:p>
    <w:p w14:paraId="7E1CA443">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方正仿宋_GB2312" w:hAnsi="方正仿宋_GB2312" w:eastAsia="方正仿宋_GB2312" w:cs="方正仿宋_GB2312"/>
          <w:kern w:val="0"/>
          <w:sz w:val="32"/>
          <w:szCs w:val="32"/>
          <w:u w:val="none" w:color="auto"/>
        </w:rPr>
      </w:pPr>
      <w:r>
        <w:rPr>
          <w:rFonts w:hint="eastAsia" w:ascii="方正仿宋_GB2312" w:hAnsi="方正仿宋_GB2312" w:eastAsia="方正仿宋_GB2312" w:cs="方正仿宋_GB2312"/>
          <w:kern w:val="0"/>
          <w:sz w:val="32"/>
          <w:szCs w:val="32"/>
          <w:u w:val="none" w:color="auto"/>
          <w:lang w:eastAsia="en-US"/>
        </w:rPr>
        <w:t>1.</w:t>
      </w:r>
      <w:r>
        <w:rPr>
          <w:rFonts w:hint="eastAsia" w:ascii="方正仿宋_GB2312" w:hAnsi="方正仿宋_GB2312" w:eastAsia="方正仿宋_GB2312" w:cs="方正仿宋_GB2312"/>
          <w:kern w:val="0"/>
          <w:sz w:val="32"/>
          <w:szCs w:val="32"/>
          <w:u w:val="none" w:color="auto"/>
        </w:rPr>
        <w:t>因公出国（境）费支出</w:t>
      </w:r>
      <w:r>
        <w:rPr>
          <w:rFonts w:hint="eastAsia" w:ascii="方正仿宋_GB2312" w:hAnsi="方正仿宋_GB2312" w:eastAsia="方正仿宋_GB2312" w:cs="方正仿宋_GB2312"/>
          <w:kern w:val="0"/>
          <w:sz w:val="32"/>
          <w:szCs w:val="32"/>
          <w:u w:val="none" w:color="auto"/>
          <w:lang w:eastAsia="en-US"/>
        </w:rPr>
        <w:t xml:space="preserve"> 1.72</w:t>
      </w:r>
      <w:r>
        <w:rPr>
          <w:rFonts w:hint="eastAsia" w:ascii="方正仿宋_GB2312" w:hAnsi="方正仿宋_GB2312" w:eastAsia="方正仿宋_GB2312" w:cs="方正仿宋_GB2312"/>
          <w:kern w:val="0"/>
          <w:sz w:val="32"/>
          <w:szCs w:val="32"/>
          <w:u w:val="none" w:color="auto"/>
        </w:rPr>
        <w:t>万元，全年出国（境）团组</w:t>
      </w:r>
      <w:r>
        <w:rPr>
          <w:rFonts w:hint="eastAsia" w:ascii="方正仿宋_GB2312" w:hAnsi="方正仿宋_GB2312" w:eastAsia="方正仿宋_GB2312" w:cs="方正仿宋_GB2312"/>
          <w:kern w:val="0"/>
          <w:sz w:val="32"/>
          <w:szCs w:val="32"/>
          <w:u w:val="none" w:color="auto"/>
          <w:lang w:eastAsia="en-US"/>
        </w:rPr>
        <w:t xml:space="preserve">1 </w:t>
      </w:r>
      <w:r>
        <w:rPr>
          <w:rFonts w:hint="eastAsia" w:ascii="方正仿宋_GB2312" w:hAnsi="方正仿宋_GB2312" w:eastAsia="方正仿宋_GB2312" w:cs="方正仿宋_GB2312"/>
          <w:kern w:val="0"/>
          <w:sz w:val="32"/>
          <w:szCs w:val="32"/>
          <w:u w:val="none" w:color="auto"/>
        </w:rPr>
        <w:t>个，累计</w:t>
      </w:r>
      <w:r>
        <w:rPr>
          <w:rFonts w:hint="eastAsia" w:ascii="方正仿宋_GB2312" w:hAnsi="方正仿宋_GB2312" w:eastAsia="方正仿宋_GB2312" w:cs="方正仿宋_GB2312"/>
          <w:kern w:val="0"/>
          <w:sz w:val="32"/>
          <w:szCs w:val="32"/>
          <w:u w:val="none" w:color="auto"/>
          <w:lang w:eastAsia="en-US"/>
        </w:rPr>
        <w:t xml:space="preserve">1 </w:t>
      </w:r>
      <w:r>
        <w:rPr>
          <w:rFonts w:hint="eastAsia" w:ascii="方正仿宋_GB2312" w:hAnsi="方正仿宋_GB2312" w:eastAsia="方正仿宋_GB2312" w:cs="方正仿宋_GB2312"/>
          <w:kern w:val="0"/>
          <w:sz w:val="32"/>
          <w:szCs w:val="32"/>
          <w:u w:val="none" w:color="auto"/>
        </w:rPr>
        <w:t>人次。与上年决算相比，增加</w:t>
      </w:r>
      <w:r>
        <w:rPr>
          <w:rFonts w:hint="eastAsia" w:ascii="方正仿宋_GB2312" w:hAnsi="方正仿宋_GB2312" w:eastAsia="方正仿宋_GB2312" w:cs="方正仿宋_GB2312"/>
          <w:kern w:val="0"/>
          <w:sz w:val="32"/>
          <w:szCs w:val="32"/>
          <w:u w:val="none" w:color="auto"/>
          <w:lang w:eastAsia="en-US"/>
        </w:rPr>
        <w:t>1.72</w:t>
      </w:r>
      <w:r>
        <w:rPr>
          <w:rFonts w:hint="eastAsia" w:ascii="方正仿宋_GB2312" w:hAnsi="方正仿宋_GB2312" w:eastAsia="方正仿宋_GB2312" w:cs="方正仿宋_GB2312"/>
          <w:kern w:val="0"/>
          <w:sz w:val="32"/>
          <w:szCs w:val="32"/>
          <w:u w:val="none" w:color="auto"/>
        </w:rPr>
        <w:t>万元，增长</w:t>
      </w:r>
      <w:r>
        <w:rPr>
          <w:rFonts w:hint="eastAsia" w:ascii="方正仿宋_GB2312" w:hAnsi="方正仿宋_GB2312" w:eastAsia="方正仿宋_GB2312" w:cs="方正仿宋_GB2312"/>
          <w:kern w:val="0"/>
          <w:sz w:val="32"/>
          <w:szCs w:val="32"/>
          <w:u w:val="none" w:color="auto"/>
          <w:lang w:val="en-US" w:eastAsia="zh-CN"/>
        </w:rPr>
        <w:t>100</w:t>
      </w:r>
      <w:r>
        <w:rPr>
          <w:rFonts w:hint="eastAsia" w:ascii="方正仿宋_GB2312" w:hAnsi="方正仿宋_GB2312" w:eastAsia="方正仿宋_GB2312" w:cs="方正仿宋_GB2312"/>
          <w:kern w:val="0"/>
          <w:sz w:val="32"/>
          <w:szCs w:val="32"/>
          <w:u w:val="none" w:color="auto"/>
          <w:lang w:eastAsia="en-US"/>
        </w:rPr>
        <w:t>%</w:t>
      </w:r>
      <w:r>
        <w:rPr>
          <w:rFonts w:hint="eastAsia" w:ascii="方正仿宋_GB2312" w:hAnsi="方正仿宋_GB2312" w:eastAsia="方正仿宋_GB2312" w:cs="方正仿宋_GB2312"/>
          <w:kern w:val="0"/>
          <w:sz w:val="32"/>
          <w:szCs w:val="32"/>
          <w:u w:val="none" w:color="auto"/>
        </w:rPr>
        <w:t>，变动原因：</w:t>
      </w:r>
      <w:r>
        <w:rPr>
          <w:rFonts w:hint="eastAsia" w:ascii="方正仿宋_GB2312" w:hAnsi="方正仿宋_GB2312" w:eastAsia="方正仿宋_GB2312" w:cs="方正仿宋_GB2312"/>
          <w:kern w:val="0"/>
          <w:sz w:val="32"/>
          <w:szCs w:val="32"/>
          <w:u w:val="none" w:color="auto"/>
          <w:lang w:eastAsia="zh-CN"/>
        </w:rPr>
        <w:t>本年度我单位人员赴日本交流合作</w:t>
      </w:r>
      <w:r>
        <w:rPr>
          <w:rFonts w:hint="eastAsia" w:ascii="方正仿宋_GB2312" w:hAnsi="方正仿宋_GB2312" w:eastAsia="方正仿宋_GB2312" w:cs="方正仿宋_GB2312"/>
          <w:kern w:val="0"/>
          <w:sz w:val="32"/>
          <w:szCs w:val="32"/>
          <w:u w:val="none" w:color="auto"/>
        </w:rPr>
        <w:t>。</w:t>
      </w:r>
    </w:p>
    <w:p w14:paraId="1D387A30">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方正仿宋_GB2312" w:hAnsi="方正仿宋_GB2312" w:eastAsia="方正仿宋_GB2312" w:cs="方正仿宋_GB2312"/>
          <w:kern w:val="0"/>
          <w:sz w:val="32"/>
          <w:szCs w:val="32"/>
          <w:u w:val="none" w:color="auto"/>
        </w:rPr>
      </w:pPr>
      <w:r>
        <w:rPr>
          <w:rFonts w:hint="eastAsia" w:ascii="方正仿宋_GB2312" w:hAnsi="方正仿宋_GB2312" w:eastAsia="方正仿宋_GB2312" w:cs="方正仿宋_GB2312"/>
          <w:kern w:val="0"/>
          <w:sz w:val="32"/>
          <w:szCs w:val="32"/>
          <w:u w:val="none" w:color="auto"/>
          <w:lang w:eastAsia="en-US"/>
        </w:rPr>
        <w:t>2.</w:t>
      </w:r>
      <w:r>
        <w:rPr>
          <w:rFonts w:hint="eastAsia" w:ascii="方正仿宋_GB2312" w:hAnsi="方正仿宋_GB2312" w:eastAsia="方正仿宋_GB2312" w:cs="方正仿宋_GB2312"/>
          <w:kern w:val="0"/>
          <w:sz w:val="32"/>
          <w:szCs w:val="32"/>
          <w:u w:val="none" w:color="auto"/>
        </w:rPr>
        <w:t>公务用车购置及运行维护费支出</w:t>
      </w:r>
      <w:r>
        <w:rPr>
          <w:rFonts w:hint="eastAsia" w:ascii="方正仿宋_GB2312" w:hAnsi="方正仿宋_GB2312" w:eastAsia="方正仿宋_GB2312" w:cs="方正仿宋_GB2312"/>
          <w:kern w:val="0"/>
          <w:sz w:val="32"/>
          <w:szCs w:val="32"/>
          <w:u w:val="none" w:color="auto"/>
          <w:lang w:eastAsia="en-US"/>
        </w:rPr>
        <w:t xml:space="preserve"> 26.50</w:t>
      </w:r>
      <w:r>
        <w:rPr>
          <w:rFonts w:hint="eastAsia" w:ascii="方正仿宋_GB2312" w:hAnsi="方正仿宋_GB2312" w:eastAsia="方正仿宋_GB2312" w:cs="方正仿宋_GB2312"/>
          <w:kern w:val="0"/>
          <w:sz w:val="32"/>
          <w:szCs w:val="32"/>
          <w:u w:val="none" w:color="auto"/>
        </w:rPr>
        <w:t>万元。其中：</w:t>
      </w:r>
    </w:p>
    <w:p w14:paraId="0E00C59F">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方正仿宋_GB2312" w:hAnsi="方正仿宋_GB2312" w:eastAsia="方正仿宋_GB2312" w:cs="方正仿宋_GB2312"/>
          <w:kern w:val="0"/>
          <w:sz w:val="32"/>
          <w:szCs w:val="32"/>
          <w:u w:val="none" w:color="auto"/>
        </w:rPr>
      </w:pPr>
      <w:r>
        <w:rPr>
          <w:rFonts w:hint="eastAsia" w:ascii="方正仿宋_GB2312" w:hAnsi="方正仿宋_GB2312" w:eastAsia="方正仿宋_GB2312" w:cs="方正仿宋_GB2312"/>
          <w:kern w:val="0"/>
          <w:sz w:val="32"/>
          <w:szCs w:val="32"/>
          <w:u w:val="none" w:color="auto"/>
        </w:rPr>
        <w:t>（</w:t>
      </w:r>
      <w:r>
        <w:rPr>
          <w:rFonts w:hint="eastAsia" w:ascii="方正仿宋_GB2312" w:hAnsi="方正仿宋_GB2312" w:eastAsia="方正仿宋_GB2312" w:cs="方正仿宋_GB2312"/>
          <w:kern w:val="0"/>
          <w:sz w:val="32"/>
          <w:szCs w:val="32"/>
          <w:u w:val="none" w:color="auto"/>
          <w:lang w:eastAsia="en-US"/>
        </w:rPr>
        <w:t>1</w:t>
      </w:r>
      <w:r>
        <w:rPr>
          <w:rFonts w:hint="eastAsia" w:ascii="方正仿宋_GB2312" w:hAnsi="方正仿宋_GB2312" w:eastAsia="方正仿宋_GB2312" w:cs="方正仿宋_GB2312"/>
          <w:kern w:val="0"/>
          <w:sz w:val="32"/>
          <w:szCs w:val="32"/>
          <w:u w:val="none" w:color="auto"/>
        </w:rPr>
        <w:t>）公务用车购置支出</w:t>
      </w:r>
      <w:r>
        <w:rPr>
          <w:rFonts w:hint="eastAsia" w:ascii="方正仿宋_GB2312" w:hAnsi="方正仿宋_GB2312" w:eastAsia="方正仿宋_GB2312" w:cs="方正仿宋_GB2312"/>
          <w:kern w:val="0"/>
          <w:sz w:val="32"/>
          <w:szCs w:val="32"/>
          <w:u w:val="none" w:color="auto"/>
          <w:lang w:eastAsia="en-US"/>
        </w:rPr>
        <w:t xml:space="preserve"> 18.71</w:t>
      </w:r>
      <w:r>
        <w:rPr>
          <w:rFonts w:hint="eastAsia" w:ascii="方正仿宋_GB2312" w:hAnsi="方正仿宋_GB2312" w:eastAsia="方正仿宋_GB2312" w:cs="方正仿宋_GB2312"/>
          <w:kern w:val="0"/>
          <w:sz w:val="32"/>
          <w:szCs w:val="32"/>
          <w:u w:val="none" w:color="auto"/>
        </w:rPr>
        <w:t>万元。本年度使用财政拨款购置公务用车</w:t>
      </w:r>
      <w:r>
        <w:rPr>
          <w:rFonts w:hint="eastAsia" w:ascii="方正仿宋_GB2312" w:hAnsi="方正仿宋_GB2312" w:eastAsia="方正仿宋_GB2312" w:cs="方正仿宋_GB2312"/>
          <w:kern w:val="0"/>
          <w:sz w:val="32"/>
          <w:szCs w:val="32"/>
          <w:u w:val="none" w:color="auto"/>
          <w:lang w:eastAsia="en-US"/>
        </w:rPr>
        <w:t xml:space="preserve">1 </w:t>
      </w:r>
      <w:r>
        <w:rPr>
          <w:rFonts w:hint="eastAsia" w:ascii="方正仿宋_GB2312" w:hAnsi="方正仿宋_GB2312" w:eastAsia="方正仿宋_GB2312" w:cs="方正仿宋_GB2312"/>
          <w:kern w:val="0"/>
          <w:sz w:val="32"/>
          <w:szCs w:val="32"/>
          <w:u w:val="none" w:color="auto"/>
        </w:rPr>
        <w:t>辆，开支内容：</w:t>
      </w:r>
      <w:r>
        <w:rPr>
          <w:rFonts w:hint="eastAsia" w:ascii="方正仿宋_GB2312" w:hAnsi="方正仿宋_GB2312" w:eastAsia="方正仿宋_GB2312" w:cs="方正仿宋_GB2312"/>
          <w:kern w:val="0"/>
          <w:sz w:val="32"/>
          <w:szCs w:val="32"/>
          <w:u w:val="none" w:color="auto"/>
          <w:lang w:eastAsia="zh-CN"/>
        </w:rPr>
        <w:t>购置公务用车一辆</w:t>
      </w:r>
      <w:r>
        <w:rPr>
          <w:rFonts w:hint="eastAsia" w:ascii="方正仿宋_GB2312" w:hAnsi="方正仿宋_GB2312" w:eastAsia="方正仿宋_GB2312" w:cs="方正仿宋_GB2312"/>
          <w:kern w:val="0"/>
          <w:sz w:val="32"/>
          <w:szCs w:val="32"/>
          <w:u w:val="none" w:color="auto"/>
        </w:rPr>
        <w:t>。与上年决算相比，增加18.71万元，增长</w:t>
      </w:r>
      <w:r>
        <w:rPr>
          <w:rFonts w:hint="eastAsia" w:ascii="方正仿宋_GB2312" w:hAnsi="方正仿宋_GB2312" w:eastAsia="方正仿宋_GB2312" w:cs="方正仿宋_GB2312"/>
          <w:kern w:val="0"/>
          <w:sz w:val="32"/>
          <w:szCs w:val="32"/>
          <w:u w:val="none" w:color="auto"/>
          <w:lang w:val="en-US" w:eastAsia="zh-CN"/>
        </w:rPr>
        <w:t>100</w:t>
      </w:r>
      <w:r>
        <w:rPr>
          <w:rFonts w:hint="eastAsia" w:ascii="方正仿宋_GB2312" w:hAnsi="方正仿宋_GB2312" w:eastAsia="方正仿宋_GB2312" w:cs="方正仿宋_GB2312"/>
          <w:kern w:val="0"/>
          <w:sz w:val="32"/>
          <w:szCs w:val="32"/>
          <w:u w:val="none" w:color="auto"/>
          <w:lang w:eastAsia="en-US"/>
        </w:rPr>
        <w:t>%</w:t>
      </w:r>
      <w:r>
        <w:rPr>
          <w:rFonts w:hint="eastAsia" w:ascii="方正仿宋_GB2312" w:hAnsi="方正仿宋_GB2312" w:eastAsia="方正仿宋_GB2312" w:cs="方正仿宋_GB2312"/>
          <w:kern w:val="0"/>
          <w:sz w:val="32"/>
          <w:szCs w:val="32"/>
          <w:u w:val="none" w:color="auto"/>
        </w:rPr>
        <w:t>，变动原因：</w:t>
      </w:r>
      <w:r>
        <w:rPr>
          <w:rFonts w:hint="eastAsia" w:ascii="方正仿宋_GB2312" w:hAnsi="方正仿宋_GB2312" w:eastAsia="方正仿宋_GB2312" w:cs="方正仿宋_GB2312"/>
          <w:kern w:val="0"/>
          <w:sz w:val="32"/>
          <w:szCs w:val="32"/>
          <w:u w:val="none" w:color="auto"/>
          <w:lang w:eastAsia="zh-CN"/>
        </w:rPr>
        <w:t>购置公务用车一辆</w:t>
      </w:r>
      <w:r>
        <w:rPr>
          <w:rFonts w:hint="eastAsia" w:ascii="方正仿宋_GB2312" w:hAnsi="方正仿宋_GB2312" w:eastAsia="方正仿宋_GB2312" w:cs="方正仿宋_GB2312"/>
          <w:kern w:val="0"/>
          <w:sz w:val="32"/>
          <w:szCs w:val="32"/>
          <w:u w:val="none" w:color="auto"/>
        </w:rPr>
        <w:t>。</w:t>
      </w:r>
    </w:p>
    <w:p w14:paraId="35CB8938">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方正仿宋_GB2312" w:hAnsi="方正仿宋_GB2312" w:eastAsia="方正仿宋_GB2312" w:cs="方正仿宋_GB2312"/>
          <w:kern w:val="0"/>
          <w:sz w:val="32"/>
          <w:szCs w:val="32"/>
          <w:u w:val="none" w:color="auto"/>
        </w:rPr>
      </w:pPr>
      <w:r>
        <w:rPr>
          <w:rFonts w:hint="eastAsia" w:ascii="方正仿宋_GB2312" w:hAnsi="方正仿宋_GB2312" w:eastAsia="方正仿宋_GB2312" w:cs="方正仿宋_GB2312"/>
          <w:kern w:val="0"/>
          <w:sz w:val="32"/>
          <w:szCs w:val="32"/>
          <w:u w:val="none" w:color="auto"/>
        </w:rPr>
        <w:t>（</w:t>
      </w:r>
      <w:r>
        <w:rPr>
          <w:rFonts w:hint="eastAsia" w:ascii="方正仿宋_GB2312" w:hAnsi="方正仿宋_GB2312" w:eastAsia="方正仿宋_GB2312" w:cs="方正仿宋_GB2312"/>
          <w:kern w:val="0"/>
          <w:sz w:val="32"/>
          <w:szCs w:val="32"/>
          <w:u w:val="none" w:color="auto"/>
          <w:lang w:eastAsia="en-US"/>
        </w:rPr>
        <w:t>2</w:t>
      </w:r>
      <w:r>
        <w:rPr>
          <w:rFonts w:hint="eastAsia" w:ascii="方正仿宋_GB2312" w:hAnsi="方正仿宋_GB2312" w:eastAsia="方正仿宋_GB2312" w:cs="方正仿宋_GB2312"/>
          <w:kern w:val="0"/>
          <w:sz w:val="32"/>
          <w:szCs w:val="32"/>
          <w:u w:val="none" w:color="auto"/>
        </w:rPr>
        <w:t>）公务用车运行维护费支出</w:t>
      </w:r>
      <w:r>
        <w:rPr>
          <w:rFonts w:hint="eastAsia" w:ascii="方正仿宋_GB2312" w:hAnsi="方正仿宋_GB2312" w:eastAsia="方正仿宋_GB2312" w:cs="方正仿宋_GB2312"/>
          <w:kern w:val="0"/>
          <w:sz w:val="32"/>
          <w:szCs w:val="32"/>
          <w:u w:val="none" w:color="auto"/>
          <w:lang w:eastAsia="en-US"/>
        </w:rPr>
        <w:t xml:space="preserve"> 7.78</w:t>
      </w:r>
      <w:r>
        <w:rPr>
          <w:rFonts w:hint="eastAsia" w:ascii="方正仿宋_GB2312" w:hAnsi="方正仿宋_GB2312" w:eastAsia="方正仿宋_GB2312" w:cs="方正仿宋_GB2312"/>
          <w:kern w:val="0"/>
          <w:sz w:val="32"/>
          <w:szCs w:val="32"/>
          <w:u w:val="none" w:color="auto"/>
        </w:rPr>
        <w:t>万元。公务用车运行维护费主要用于按规定保留的公务用车的燃料费、新能源汽车充电费、维修费、过桥过路费、保险费、安全奖励费用等支出。截至</w:t>
      </w:r>
      <w:r>
        <w:rPr>
          <w:rFonts w:hint="eastAsia" w:ascii="方正仿宋_GB2312" w:hAnsi="方正仿宋_GB2312" w:eastAsia="方正仿宋_GB2312" w:cs="方正仿宋_GB2312"/>
          <w:kern w:val="0"/>
          <w:sz w:val="32"/>
          <w:szCs w:val="32"/>
          <w:u w:val="none" w:color="auto"/>
          <w:lang w:eastAsia="en-US"/>
        </w:rPr>
        <w:t>2025</w:t>
      </w:r>
      <w:r>
        <w:rPr>
          <w:rFonts w:hint="eastAsia" w:ascii="方正仿宋_GB2312" w:hAnsi="方正仿宋_GB2312" w:eastAsia="方正仿宋_GB2312" w:cs="方正仿宋_GB2312"/>
          <w:kern w:val="0"/>
          <w:sz w:val="32"/>
          <w:szCs w:val="32"/>
          <w:u w:val="none" w:color="auto"/>
        </w:rPr>
        <w:t>年</w:t>
      </w:r>
      <w:r>
        <w:rPr>
          <w:rFonts w:hint="eastAsia" w:ascii="方正仿宋_GB2312" w:hAnsi="方正仿宋_GB2312" w:eastAsia="方正仿宋_GB2312" w:cs="方正仿宋_GB2312"/>
          <w:kern w:val="0"/>
          <w:sz w:val="32"/>
          <w:szCs w:val="32"/>
          <w:u w:val="none" w:color="auto"/>
          <w:lang w:eastAsia="en-US"/>
        </w:rPr>
        <w:t>12</w:t>
      </w:r>
      <w:r>
        <w:rPr>
          <w:rFonts w:hint="eastAsia" w:ascii="方正仿宋_GB2312" w:hAnsi="方正仿宋_GB2312" w:eastAsia="方正仿宋_GB2312" w:cs="方正仿宋_GB2312"/>
          <w:kern w:val="0"/>
          <w:sz w:val="32"/>
          <w:szCs w:val="32"/>
          <w:u w:val="none" w:color="auto"/>
        </w:rPr>
        <w:t>月</w:t>
      </w:r>
      <w:r>
        <w:rPr>
          <w:rFonts w:hint="eastAsia" w:ascii="方正仿宋_GB2312" w:hAnsi="方正仿宋_GB2312" w:eastAsia="方正仿宋_GB2312" w:cs="方正仿宋_GB2312"/>
          <w:kern w:val="0"/>
          <w:sz w:val="32"/>
          <w:szCs w:val="32"/>
          <w:u w:val="none" w:color="auto"/>
          <w:lang w:eastAsia="en-US"/>
        </w:rPr>
        <w:t>31</w:t>
      </w:r>
      <w:r>
        <w:rPr>
          <w:rFonts w:hint="eastAsia" w:ascii="方正仿宋_GB2312" w:hAnsi="方正仿宋_GB2312" w:eastAsia="方正仿宋_GB2312" w:cs="方正仿宋_GB2312"/>
          <w:kern w:val="0"/>
          <w:sz w:val="32"/>
          <w:szCs w:val="32"/>
          <w:u w:val="none" w:color="auto"/>
        </w:rPr>
        <w:t>日，使用财政拨款开支的公务用车保有量为</w:t>
      </w:r>
      <w:r>
        <w:rPr>
          <w:rFonts w:hint="eastAsia" w:ascii="方正仿宋_GB2312" w:hAnsi="方正仿宋_GB2312" w:eastAsia="方正仿宋_GB2312" w:cs="方正仿宋_GB2312"/>
          <w:kern w:val="0"/>
          <w:sz w:val="32"/>
          <w:szCs w:val="32"/>
          <w:u w:val="none" w:color="auto"/>
          <w:lang w:eastAsia="en-US"/>
        </w:rPr>
        <w:t xml:space="preserve">2 </w:t>
      </w:r>
      <w:r>
        <w:rPr>
          <w:rFonts w:hint="eastAsia" w:ascii="方正仿宋_GB2312" w:hAnsi="方正仿宋_GB2312" w:eastAsia="方正仿宋_GB2312" w:cs="方正仿宋_GB2312"/>
          <w:kern w:val="0"/>
          <w:sz w:val="32"/>
          <w:szCs w:val="32"/>
          <w:u w:val="none" w:color="auto"/>
        </w:rPr>
        <w:t>辆。与上年决算相比，减少</w:t>
      </w:r>
      <w:r>
        <w:rPr>
          <w:rFonts w:hint="eastAsia" w:ascii="方正仿宋_GB2312" w:hAnsi="方正仿宋_GB2312" w:eastAsia="方正仿宋_GB2312" w:cs="方正仿宋_GB2312"/>
          <w:kern w:val="0"/>
          <w:sz w:val="32"/>
          <w:szCs w:val="32"/>
          <w:u w:val="none" w:color="auto"/>
          <w:lang w:eastAsia="en-US"/>
        </w:rPr>
        <w:t>0.30</w:t>
      </w:r>
      <w:r>
        <w:rPr>
          <w:rFonts w:hint="eastAsia" w:ascii="方正仿宋_GB2312" w:hAnsi="方正仿宋_GB2312" w:eastAsia="方正仿宋_GB2312" w:cs="方正仿宋_GB2312"/>
          <w:kern w:val="0"/>
          <w:sz w:val="32"/>
          <w:szCs w:val="32"/>
          <w:u w:val="none" w:color="auto"/>
        </w:rPr>
        <w:t>万元，下降</w:t>
      </w:r>
      <w:r>
        <w:rPr>
          <w:rFonts w:hint="eastAsia" w:ascii="方正仿宋_GB2312" w:hAnsi="方正仿宋_GB2312" w:eastAsia="方正仿宋_GB2312" w:cs="方正仿宋_GB2312"/>
          <w:kern w:val="0"/>
          <w:sz w:val="32"/>
          <w:szCs w:val="32"/>
          <w:u w:val="none" w:color="auto"/>
          <w:lang w:eastAsia="en-US"/>
        </w:rPr>
        <w:t xml:space="preserve"> 3.73%</w:t>
      </w:r>
      <w:r>
        <w:rPr>
          <w:rFonts w:hint="eastAsia" w:ascii="方正仿宋_GB2312" w:hAnsi="方正仿宋_GB2312" w:eastAsia="方正仿宋_GB2312" w:cs="方正仿宋_GB2312"/>
          <w:kern w:val="0"/>
          <w:sz w:val="32"/>
          <w:szCs w:val="32"/>
          <w:u w:val="none" w:color="auto"/>
        </w:rPr>
        <w:t>，变动原因：</w:t>
      </w:r>
      <w:r>
        <w:rPr>
          <w:rFonts w:hint="eastAsia" w:ascii="方正仿宋_GB2312" w:hAnsi="方正仿宋_GB2312" w:eastAsia="方正仿宋_GB2312" w:cs="方正仿宋_GB2312"/>
          <w:kern w:val="0"/>
          <w:sz w:val="32"/>
          <w:szCs w:val="32"/>
          <w:u w:val="none" w:color="auto"/>
          <w:lang w:eastAsia="zh-CN"/>
        </w:rPr>
        <w:t>节省开支</w:t>
      </w:r>
      <w:r>
        <w:rPr>
          <w:rFonts w:hint="eastAsia" w:ascii="方正仿宋_GB2312" w:hAnsi="方正仿宋_GB2312" w:eastAsia="方正仿宋_GB2312" w:cs="方正仿宋_GB2312"/>
          <w:kern w:val="0"/>
          <w:sz w:val="32"/>
          <w:szCs w:val="32"/>
          <w:u w:val="none" w:color="auto"/>
        </w:rPr>
        <w:t>。</w:t>
      </w:r>
    </w:p>
    <w:p w14:paraId="71C393AF">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方正仿宋_GB2312" w:hAnsi="方正仿宋_GB2312" w:eastAsia="方正仿宋_GB2312" w:cs="方正仿宋_GB2312"/>
          <w:kern w:val="0"/>
          <w:sz w:val="32"/>
          <w:szCs w:val="32"/>
          <w:u w:val="none" w:color="auto"/>
        </w:rPr>
      </w:pPr>
      <w:r>
        <w:rPr>
          <w:rFonts w:hint="eastAsia" w:ascii="方正仿宋_GB2312" w:hAnsi="方正仿宋_GB2312" w:eastAsia="方正仿宋_GB2312" w:cs="方正仿宋_GB2312"/>
          <w:kern w:val="0"/>
          <w:sz w:val="32"/>
          <w:szCs w:val="32"/>
          <w:u w:val="none" w:color="auto"/>
          <w:lang w:eastAsia="en-US"/>
        </w:rPr>
        <w:t>3.</w:t>
      </w:r>
      <w:r>
        <w:rPr>
          <w:rFonts w:hint="eastAsia" w:ascii="方正仿宋_GB2312" w:hAnsi="方正仿宋_GB2312" w:eastAsia="方正仿宋_GB2312" w:cs="方正仿宋_GB2312"/>
          <w:kern w:val="0"/>
          <w:sz w:val="32"/>
          <w:szCs w:val="32"/>
          <w:u w:val="none" w:color="auto"/>
        </w:rPr>
        <w:t>公务接待费支出</w:t>
      </w:r>
      <w:r>
        <w:rPr>
          <w:rFonts w:hint="eastAsia" w:ascii="方正仿宋_GB2312" w:hAnsi="方正仿宋_GB2312" w:eastAsia="方正仿宋_GB2312" w:cs="方正仿宋_GB2312"/>
          <w:kern w:val="0"/>
          <w:sz w:val="32"/>
          <w:szCs w:val="32"/>
          <w:u w:val="none" w:color="auto"/>
          <w:lang w:eastAsia="en-US"/>
        </w:rPr>
        <w:t xml:space="preserve"> 0.85</w:t>
      </w:r>
      <w:r>
        <w:rPr>
          <w:rFonts w:hint="eastAsia" w:ascii="方正仿宋_GB2312" w:hAnsi="方正仿宋_GB2312" w:eastAsia="方正仿宋_GB2312" w:cs="方正仿宋_GB2312"/>
          <w:kern w:val="0"/>
          <w:sz w:val="32"/>
          <w:szCs w:val="32"/>
          <w:u w:val="none" w:color="auto"/>
        </w:rPr>
        <w:t>万元。其中：国内公务接待支出</w:t>
      </w:r>
      <w:r>
        <w:rPr>
          <w:rFonts w:hint="eastAsia" w:ascii="方正仿宋_GB2312" w:hAnsi="方正仿宋_GB2312" w:eastAsia="方正仿宋_GB2312" w:cs="方正仿宋_GB2312"/>
          <w:kern w:val="0"/>
          <w:sz w:val="32"/>
          <w:szCs w:val="32"/>
          <w:u w:val="none" w:color="auto"/>
          <w:lang w:eastAsia="en-US"/>
        </w:rPr>
        <w:t xml:space="preserve"> 0.85</w:t>
      </w:r>
      <w:r>
        <w:rPr>
          <w:rFonts w:hint="eastAsia" w:ascii="方正仿宋_GB2312" w:hAnsi="方正仿宋_GB2312" w:eastAsia="方正仿宋_GB2312" w:cs="方正仿宋_GB2312"/>
          <w:kern w:val="0"/>
          <w:sz w:val="32"/>
          <w:szCs w:val="32"/>
          <w:u w:val="none" w:color="auto"/>
        </w:rPr>
        <w:t>万元，接待</w:t>
      </w:r>
      <w:r>
        <w:rPr>
          <w:rFonts w:hint="eastAsia" w:ascii="方正仿宋_GB2312" w:hAnsi="方正仿宋_GB2312" w:eastAsia="方正仿宋_GB2312" w:cs="方正仿宋_GB2312"/>
          <w:kern w:val="0"/>
          <w:sz w:val="32"/>
          <w:szCs w:val="32"/>
          <w:u w:val="none" w:color="auto"/>
          <w:lang w:eastAsia="en-US"/>
        </w:rPr>
        <w:t xml:space="preserve">34 </w:t>
      </w:r>
      <w:r>
        <w:rPr>
          <w:rFonts w:hint="eastAsia" w:ascii="方正仿宋_GB2312" w:hAnsi="方正仿宋_GB2312" w:eastAsia="方正仿宋_GB2312" w:cs="方正仿宋_GB2312"/>
          <w:kern w:val="0"/>
          <w:sz w:val="32"/>
          <w:szCs w:val="32"/>
          <w:u w:val="none" w:color="auto"/>
        </w:rPr>
        <w:t>批次，</w:t>
      </w:r>
      <w:r>
        <w:rPr>
          <w:rFonts w:hint="eastAsia" w:ascii="方正仿宋_GB2312" w:hAnsi="方正仿宋_GB2312" w:eastAsia="方正仿宋_GB2312" w:cs="方正仿宋_GB2312"/>
          <w:kern w:val="0"/>
          <w:sz w:val="32"/>
          <w:szCs w:val="32"/>
          <w:u w:val="none" w:color="auto"/>
          <w:lang w:eastAsia="en-US"/>
        </w:rPr>
        <w:t xml:space="preserve">170 </w:t>
      </w:r>
      <w:r>
        <w:rPr>
          <w:rFonts w:hint="eastAsia" w:ascii="方正仿宋_GB2312" w:hAnsi="方正仿宋_GB2312" w:eastAsia="方正仿宋_GB2312" w:cs="方正仿宋_GB2312"/>
          <w:kern w:val="0"/>
          <w:sz w:val="32"/>
          <w:szCs w:val="32"/>
          <w:u w:val="none" w:color="auto"/>
        </w:rPr>
        <w:t>人次，开支内容：</w:t>
      </w:r>
      <w:r>
        <w:rPr>
          <w:rFonts w:hint="eastAsia" w:ascii="方正仿宋_GB2312" w:hAnsi="方正仿宋_GB2312" w:eastAsia="方正仿宋_GB2312" w:cs="方正仿宋_GB2312"/>
          <w:kern w:val="0"/>
          <w:sz w:val="32"/>
          <w:szCs w:val="32"/>
          <w:u w:val="none" w:color="auto"/>
          <w:lang w:eastAsia="zh-CN"/>
        </w:rPr>
        <w:t>上级检查公务接待</w:t>
      </w:r>
      <w:r>
        <w:rPr>
          <w:rFonts w:hint="eastAsia" w:ascii="方正仿宋_GB2312" w:hAnsi="方正仿宋_GB2312" w:eastAsia="方正仿宋_GB2312" w:cs="方正仿宋_GB2312"/>
          <w:kern w:val="0"/>
          <w:sz w:val="32"/>
          <w:szCs w:val="32"/>
          <w:u w:val="none" w:color="auto"/>
        </w:rPr>
        <w:t>；国（境）外公务接待支出</w:t>
      </w:r>
      <w:r>
        <w:rPr>
          <w:rFonts w:hint="eastAsia" w:ascii="方正仿宋_GB2312" w:hAnsi="方正仿宋_GB2312" w:eastAsia="方正仿宋_GB2312" w:cs="方正仿宋_GB2312"/>
          <w:kern w:val="0"/>
          <w:sz w:val="32"/>
          <w:szCs w:val="32"/>
          <w:u w:val="none" w:color="auto"/>
          <w:lang w:eastAsia="en-US"/>
        </w:rPr>
        <w:t xml:space="preserve"> 0</w:t>
      </w:r>
      <w:r>
        <w:rPr>
          <w:rFonts w:hint="eastAsia" w:ascii="方正仿宋_GB2312" w:hAnsi="方正仿宋_GB2312" w:eastAsia="方正仿宋_GB2312" w:cs="方正仿宋_GB2312"/>
          <w:kern w:val="0"/>
          <w:sz w:val="32"/>
          <w:szCs w:val="32"/>
          <w:u w:val="none" w:color="auto"/>
        </w:rPr>
        <w:t>万元，接待</w:t>
      </w:r>
      <w:r>
        <w:rPr>
          <w:rFonts w:hint="eastAsia" w:ascii="方正仿宋_GB2312" w:hAnsi="方正仿宋_GB2312" w:eastAsia="方正仿宋_GB2312" w:cs="方正仿宋_GB2312"/>
          <w:kern w:val="0"/>
          <w:sz w:val="32"/>
          <w:szCs w:val="32"/>
          <w:u w:val="none" w:color="auto"/>
          <w:lang w:eastAsia="en-US"/>
        </w:rPr>
        <w:t xml:space="preserve">0 </w:t>
      </w:r>
      <w:r>
        <w:rPr>
          <w:rFonts w:hint="eastAsia" w:ascii="方正仿宋_GB2312" w:hAnsi="方正仿宋_GB2312" w:eastAsia="方正仿宋_GB2312" w:cs="方正仿宋_GB2312"/>
          <w:kern w:val="0"/>
          <w:sz w:val="32"/>
          <w:szCs w:val="32"/>
          <w:u w:val="none" w:color="auto"/>
        </w:rPr>
        <w:t>批次，</w:t>
      </w:r>
      <w:r>
        <w:rPr>
          <w:rFonts w:hint="eastAsia" w:ascii="方正仿宋_GB2312" w:hAnsi="方正仿宋_GB2312" w:eastAsia="方正仿宋_GB2312" w:cs="方正仿宋_GB2312"/>
          <w:kern w:val="0"/>
          <w:sz w:val="32"/>
          <w:szCs w:val="32"/>
          <w:u w:val="none" w:color="auto"/>
          <w:lang w:eastAsia="en-US"/>
        </w:rPr>
        <w:t xml:space="preserve">0 </w:t>
      </w:r>
      <w:r>
        <w:rPr>
          <w:rFonts w:hint="eastAsia" w:ascii="方正仿宋_GB2312" w:hAnsi="方正仿宋_GB2312" w:eastAsia="方正仿宋_GB2312" w:cs="方正仿宋_GB2312"/>
          <w:kern w:val="0"/>
          <w:sz w:val="32"/>
          <w:szCs w:val="32"/>
          <w:u w:val="none" w:color="auto"/>
        </w:rPr>
        <w:t>人次，开支内容：</w:t>
      </w:r>
      <w:r>
        <w:rPr>
          <w:rFonts w:hint="eastAsia" w:ascii="方正仿宋_GB2312" w:hAnsi="方正仿宋_GB2312" w:eastAsia="方正仿宋_GB2312" w:cs="方正仿宋_GB2312"/>
          <w:kern w:val="0"/>
          <w:sz w:val="32"/>
          <w:szCs w:val="32"/>
          <w:u w:val="none" w:color="auto"/>
          <w:lang w:eastAsia="zh-CN"/>
        </w:rPr>
        <w:t>无</w:t>
      </w:r>
      <w:r>
        <w:rPr>
          <w:rFonts w:hint="eastAsia" w:ascii="方正仿宋_GB2312" w:hAnsi="方正仿宋_GB2312" w:eastAsia="方正仿宋_GB2312" w:cs="方正仿宋_GB2312"/>
          <w:kern w:val="0"/>
          <w:sz w:val="32"/>
          <w:szCs w:val="32"/>
          <w:u w:val="none" w:color="auto"/>
        </w:rPr>
        <w:t>。与上年决算相比，减少</w:t>
      </w:r>
      <w:r>
        <w:rPr>
          <w:rFonts w:hint="eastAsia" w:ascii="方正仿宋_GB2312" w:hAnsi="方正仿宋_GB2312" w:eastAsia="方正仿宋_GB2312" w:cs="方正仿宋_GB2312"/>
          <w:kern w:val="0"/>
          <w:sz w:val="32"/>
          <w:szCs w:val="32"/>
          <w:u w:val="none" w:color="auto"/>
          <w:lang w:eastAsia="en-US"/>
        </w:rPr>
        <w:t>0.45</w:t>
      </w:r>
      <w:r>
        <w:rPr>
          <w:rFonts w:hint="eastAsia" w:ascii="方正仿宋_GB2312" w:hAnsi="方正仿宋_GB2312" w:eastAsia="方正仿宋_GB2312" w:cs="方正仿宋_GB2312"/>
          <w:kern w:val="0"/>
          <w:sz w:val="32"/>
          <w:szCs w:val="32"/>
          <w:u w:val="none" w:color="auto"/>
        </w:rPr>
        <w:t>万元，下降</w:t>
      </w:r>
      <w:r>
        <w:rPr>
          <w:rFonts w:hint="eastAsia" w:ascii="方正仿宋_GB2312" w:hAnsi="方正仿宋_GB2312" w:eastAsia="方正仿宋_GB2312" w:cs="方正仿宋_GB2312"/>
          <w:kern w:val="0"/>
          <w:sz w:val="32"/>
          <w:szCs w:val="32"/>
          <w:u w:val="none" w:color="auto"/>
          <w:lang w:eastAsia="en-US"/>
        </w:rPr>
        <w:t>34.55%</w:t>
      </w:r>
      <w:r>
        <w:rPr>
          <w:rFonts w:hint="eastAsia" w:ascii="方正仿宋_GB2312" w:hAnsi="方正仿宋_GB2312" w:eastAsia="方正仿宋_GB2312" w:cs="方正仿宋_GB2312"/>
          <w:kern w:val="0"/>
          <w:sz w:val="32"/>
          <w:szCs w:val="32"/>
          <w:u w:val="none" w:color="auto"/>
        </w:rPr>
        <w:t>，变动原因</w:t>
      </w:r>
      <w:r>
        <w:rPr>
          <w:rFonts w:hint="eastAsia" w:ascii="方正仿宋_GB2312" w:hAnsi="方正仿宋_GB2312" w:eastAsia="方正仿宋_GB2312" w:cs="方正仿宋_GB2312"/>
          <w:kern w:val="0"/>
          <w:sz w:val="32"/>
          <w:szCs w:val="32"/>
          <w:u w:val="none" w:color="auto"/>
          <w:lang w:val="en-US" w:eastAsia="zh-CN"/>
        </w:rPr>
        <w:t>厉行节约，减少支出</w:t>
      </w:r>
      <w:r>
        <w:rPr>
          <w:rFonts w:hint="eastAsia" w:ascii="方正仿宋_GB2312" w:hAnsi="方正仿宋_GB2312" w:eastAsia="方正仿宋_GB2312" w:cs="方正仿宋_GB2312"/>
          <w:kern w:val="0"/>
          <w:sz w:val="32"/>
          <w:szCs w:val="32"/>
          <w:u w:val="none" w:color="auto"/>
        </w:rPr>
        <w:t>。</w:t>
      </w:r>
    </w:p>
    <w:p w14:paraId="4BAE8314">
      <w:pPr>
        <w:pStyle w:val="29"/>
        <w:keepNext w:val="0"/>
        <w:keepLines w:val="0"/>
        <w:pageBreakBefore w:val="0"/>
        <w:widowControl/>
        <w:kinsoku/>
        <w:wordWrap/>
        <w:overflowPunct/>
        <w:topLinePunct w:val="0"/>
        <w:autoSpaceDE/>
        <w:autoSpaceDN/>
        <w:bidi w:val="0"/>
        <w:adjustRightInd/>
        <w:snapToGrid/>
        <w:spacing w:line="560" w:lineRule="exact"/>
        <w:ind w:firstLine="643"/>
        <w:jc w:val="left"/>
        <w:textAlignment w:val="auto"/>
        <w:rPr>
          <w:rFonts w:ascii="Times New Roman" w:hAnsi="Times New Roman" w:eastAsia="Times New Roman" w:cs="Times New Roman"/>
          <w:kern w:val="0"/>
          <w:sz w:val="24"/>
          <w:u w:val="none" w:color="auto"/>
        </w:rPr>
      </w:pPr>
      <w:r>
        <w:rPr>
          <w:rFonts w:ascii="黑体" w:hAnsi="黑体" w:eastAsia="黑体" w:cs="黑体"/>
          <w:b/>
          <w:bCs/>
          <w:kern w:val="0"/>
          <w:sz w:val="32"/>
          <w:szCs w:val="32"/>
          <w:u w:val="none" w:color="auto"/>
        </w:rPr>
        <w:t>九、政府性基金预算财政拨款支出决算情况说明</w:t>
      </w:r>
    </w:p>
    <w:p w14:paraId="53F8225E">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方正仿宋_GB2312" w:hAnsi="方正仿宋_GB2312" w:eastAsia="方正仿宋_GB2312" w:cs="方正仿宋_GB2312"/>
          <w:kern w:val="0"/>
          <w:sz w:val="32"/>
          <w:szCs w:val="32"/>
          <w:u w:val="none" w:color="auto"/>
        </w:rPr>
      </w:pPr>
      <w:r>
        <w:rPr>
          <w:rFonts w:hint="eastAsia" w:ascii="方正仿宋_GB2312" w:hAnsi="方正仿宋_GB2312" w:eastAsia="方正仿宋_GB2312" w:cs="方正仿宋_GB2312"/>
          <w:kern w:val="0"/>
          <w:sz w:val="32"/>
          <w:szCs w:val="32"/>
          <w:u w:val="none" w:color="auto"/>
          <w:lang w:val="en-US" w:eastAsia="zh-CN"/>
        </w:rPr>
        <w:t>巴彦淖尔市卫生健康委员会本级</w:t>
      </w:r>
      <w:r>
        <w:rPr>
          <w:rFonts w:hint="eastAsia" w:ascii="方正仿宋_GB2312" w:hAnsi="方正仿宋_GB2312" w:eastAsia="方正仿宋_GB2312" w:cs="方正仿宋_GB2312"/>
          <w:kern w:val="0"/>
          <w:sz w:val="32"/>
          <w:szCs w:val="32"/>
          <w:u w:val="none" w:color="auto"/>
        </w:rPr>
        <w:t>单位202</w:t>
      </w:r>
      <w:r>
        <w:rPr>
          <w:rFonts w:hint="eastAsia" w:ascii="方正仿宋_GB2312" w:hAnsi="方正仿宋_GB2312" w:eastAsia="方正仿宋_GB2312" w:cs="方正仿宋_GB2312"/>
          <w:kern w:val="0"/>
          <w:sz w:val="32"/>
          <w:szCs w:val="32"/>
          <w:u w:val="none" w:color="auto"/>
          <w:lang w:val="en-US" w:eastAsia="zh-CN"/>
        </w:rPr>
        <w:t>5</w:t>
      </w:r>
      <w:r>
        <w:rPr>
          <w:rFonts w:hint="eastAsia" w:ascii="方正仿宋_GB2312" w:hAnsi="方正仿宋_GB2312" w:eastAsia="方正仿宋_GB2312" w:cs="方正仿宋_GB2312"/>
          <w:kern w:val="0"/>
          <w:sz w:val="32"/>
          <w:szCs w:val="32"/>
          <w:u w:val="none" w:color="auto"/>
        </w:rPr>
        <w:t>年度政府性基金预算财政拨款支出决算</w:t>
      </w:r>
      <w:r>
        <w:rPr>
          <w:rFonts w:hint="eastAsia" w:ascii="方正仿宋_GB2312" w:hAnsi="方正仿宋_GB2312" w:eastAsia="方正仿宋_GB2312" w:cs="方正仿宋_GB2312"/>
          <w:kern w:val="0"/>
          <w:sz w:val="32"/>
          <w:szCs w:val="32"/>
          <w:u w:val="none" w:color="auto"/>
          <w:lang w:val="en-US" w:eastAsia="zh-CN"/>
        </w:rPr>
        <w:t>0</w:t>
      </w:r>
      <w:r>
        <w:rPr>
          <w:rFonts w:hint="eastAsia" w:ascii="方正仿宋_GB2312" w:hAnsi="方正仿宋_GB2312" w:eastAsia="方正仿宋_GB2312" w:cs="方正仿宋_GB2312"/>
          <w:kern w:val="0"/>
          <w:sz w:val="32"/>
          <w:szCs w:val="32"/>
          <w:u w:val="none" w:color="auto"/>
        </w:rPr>
        <w:t>万元。与上年决算相比，增加</w:t>
      </w:r>
      <w:r>
        <w:rPr>
          <w:rFonts w:hint="eastAsia" w:ascii="方正仿宋_GB2312" w:hAnsi="方正仿宋_GB2312" w:eastAsia="方正仿宋_GB2312" w:cs="方正仿宋_GB2312"/>
          <w:kern w:val="0"/>
          <w:sz w:val="32"/>
          <w:szCs w:val="32"/>
          <w:u w:val="none" w:color="auto"/>
          <w:lang w:val="en-US" w:eastAsia="zh-CN"/>
        </w:rPr>
        <w:t>0</w:t>
      </w:r>
      <w:r>
        <w:rPr>
          <w:rFonts w:hint="eastAsia" w:ascii="方正仿宋_GB2312" w:hAnsi="方正仿宋_GB2312" w:eastAsia="方正仿宋_GB2312" w:cs="方正仿宋_GB2312"/>
          <w:kern w:val="0"/>
          <w:sz w:val="32"/>
          <w:szCs w:val="32"/>
          <w:u w:val="none" w:color="auto"/>
        </w:rPr>
        <w:t>万元，增长</w:t>
      </w:r>
      <w:r>
        <w:rPr>
          <w:rFonts w:hint="eastAsia" w:ascii="方正仿宋_GB2312" w:hAnsi="方正仿宋_GB2312" w:eastAsia="方正仿宋_GB2312" w:cs="方正仿宋_GB2312"/>
          <w:kern w:val="0"/>
          <w:sz w:val="32"/>
          <w:szCs w:val="32"/>
          <w:u w:val="none" w:color="auto"/>
          <w:lang w:val="en-US" w:eastAsia="zh-CN"/>
        </w:rPr>
        <w:t>0</w:t>
      </w:r>
      <w:r>
        <w:rPr>
          <w:rFonts w:hint="eastAsia" w:ascii="方正仿宋_GB2312" w:hAnsi="方正仿宋_GB2312" w:eastAsia="方正仿宋_GB2312" w:cs="方正仿宋_GB2312"/>
          <w:kern w:val="0"/>
          <w:sz w:val="32"/>
          <w:szCs w:val="32"/>
          <w:u w:val="none" w:color="auto"/>
        </w:rPr>
        <w:t>%，变动原因：</w:t>
      </w:r>
      <w:r>
        <w:rPr>
          <w:rFonts w:hint="eastAsia" w:ascii="方正仿宋_GB2312" w:hAnsi="方正仿宋_GB2312" w:eastAsia="方正仿宋_GB2312" w:cs="方正仿宋_GB2312"/>
          <w:kern w:val="0"/>
          <w:sz w:val="32"/>
          <w:szCs w:val="32"/>
          <w:u w:val="none" w:color="auto"/>
          <w:lang w:val="en-US" w:eastAsia="zh-CN"/>
        </w:rPr>
        <w:t>2024年度与2025年度均无</w:t>
      </w:r>
      <w:r>
        <w:rPr>
          <w:rFonts w:hint="eastAsia" w:ascii="方正仿宋_GB2312" w:hAnsi="方正仿宋_GB2312" w:eastAsia="方正仿宋_GB2312" w:cs="方正仿宋_GB2312"/>
          <w:kern w:val="0"/>
          <w:sz w:val="32"/>
          <w:szCs w:val="32"/>
          <w:u w:val="none" w:color="auto"/>
        </w:rPr>
        <w:t>政府性基金</w:t>
      </w:r>
      <w:r>
        <w:rPr>
          <w:rFonts w:hint="eastAsia" w:ascii="方正仿宋_GB2312" w:hAnsi="方正仿宋_GB2312" w:eastAsia="方正仿宋_GB2312" w:cs="方正仿宋_GB2312"/>
          <w:kern w:val="0"/>
          <w:sz w:val="32"/>
          <w:szCs w:val="32"/>
          <w:u w:val="none" w:color="auto"/>
          <w:lang w:val="en-US" w:eastAsia="zh-CN"/>
        </w:rPr>
        <w:t>预算</w:t>
      </w:r>
      <w:r>
        <w:rPr>
          <w:rFonts w:hint="eastAsia" w:ascii="方正仿宋_GB2312" w:hAnsi="方正仿宋_GB2312" w:eastAsia="方正仿宋_GB2312" w:cs="方正仿宋_GB2312"/>
          <w:kern w:val="0"/>
          <w:sz w:val="32"/>
          <w:szCs w:val="32"/>
          <w:u w:val="none" w:color="auto"/>
        </w:rPr>
        <w:t>。</w:t>
      </w:r>
    </w:p>
    <w:p w14:paraId="05D96842">
      <w:pPr>
        <w:pStyle w:val="29"/>
        <w:keepNext w:val="0"/>
        <w:keepLines w:val="0"/>
        <w:pageBreakBefore w:val="0"/>
        <w:widowControl/>
        <w:kinsoku/>
        <w:wordWrap/>
        <w:overflowPunct/>
        <w:topLinePunct w:val="0"/>
        <w:autoSpaceDE/>
        <w:autoSpaceDN/>
        <w:bidi w:val="0"/>
        <w:adjustRightInd/>
        <w:snapToGrid/>
        <w:spacing w:line="560" w:lineRule="exact"/>
        <w:ind w:firstLine="643"/>
        <w:jc w:val="left"/>
        <w:textAlignment w:val="auto"/>
        <w:rPr>
          <w:rFonts w:ascii="Times New Roman" w:hAnsi="Times New Roman" w:eastAsia="Times New Roman" w:cs="Times New Roman"/>
          <w:kern w:val="0"/>
          <w:sz w:val="24"/>
          <w:u w:val="none" w:color="auto"/>
        </w:rPr>
      </w:pPr>
      <w:r>
        <w:rPr>
          <w:rFonts w:ascii="黑体" w:hAnsi="黑体" w:eastAsia="黑体" w:cs="黑体"/>
          <w:b/>
          <w:bCs/>
          <w:kern w:val="0"/>
          <w:sz w:val="32"/>
          <w:szCs w:val="32"/>
          <w:u w:val="none" w:color="auto"/>
        </w:rPr>
        <w:t>十、国有资本经营预算财政拨款支出决算情况说明</w:t>
      </w:r>
    </w:p>
    <w:p w14:paraId="67578857">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方正仿宋_GB2312" w:hAnsi="方正仿宋_GB2312" w:eastAsia="方正仿宋_GB2312" w:cs="方正仿宋_GB2312"/>
          <w:kern w:val="0"/>
          <w:sz w:val="32"/>
          <w:szCs w:val="32"/>
          <w:u w:val="none" w:color="auto"/>
        </w:rPr>
      </w:pPr>
      <w:r>
        <w:rPr>
          <w:rFonts w:hint="eastAsia" w:ascii="方正仿宋_GB2312" w:hAnsi="方正仿宋_GB2312" w:eastAsia="方正仿宋_GB2312" w:cs="方正仿宋_GB2312"/>
          <w:kern w:val="0"/>
          <w:sz w:val="32"/>
          <w:szCs w:val="32"/>
          <w:u w:val="none" w:color="auto"/>
          <w:lang w:val="en-US" w:eastAsia="zh-CN"/>
        </w:rPr>
        <w:t>巴彦淖尔市卫生健康委员会本级</w:t>
      </w:r>
      <w:r>
        <w:rPr>
          <w:rFonts w:hint="eastAsia" w:ascii="方正仿宋_GB2312" w:hAnsi="方正仿宋_GB2312" w:eastAsia="方正仿宋_GB2312" w:cs="方正仿宋_GB2312"/>
          <w:kern w:val="0"/>
          <w:sz w:val="32"/>
          <w:szCs w:val="32"/>
          <w:u w:val="none" w:color="auto"/>
        </w:rPr>
        <w:t>单位202</w:t>
      </w:r>
      <w:r>
        <w:rPr>
          <w:rFonts w:hint="eastAsia" w:ascii="方正仿宋_GB2312" w:hAnsi="方正仿宋_GB2312" w:eastAsia="方正仿宋_GB2312" w:cs="方正仿宋_GB2312"/>
          <w:kern w:val="0"/>
          <w:sz w:val="32"/>
          <w:szCs w:val="32"/>
          <w:u w:val="none" w:color="auto"/>
          <w:lang w:val="en-US" w:eastAsia="zh-CN"/>
        </w:rPr>
        <w:t>5</w:t>
      </w:r>
      <w:r>
        <w:rPr>
          <w:rFonts w:hint="eastAsia" w:ascii="方正仿宋_GB2312" w:hAnsi="方正仿宋_GB2312" w:eastAsia="方正仿宋_GB2312" w:cs="方正仿宋_GB2312"/>
          <w:kern w:val="0"/>
          <w:sz w:val="32"/>
          <w:szCs w:val="32"/>
          <w:u w:val="none" w:color="auto"/>
        </w:rPr>
        <w:t>年度国有资本经营预算财政拨款支出决算</w:t>
      </w:r>
      <w:r>
        <w:rPr>
          <w:rFonts w:hint="eastAsia" w:ascii="方正仿宋_GB2312" w:hAnsi="方正仿宋_GB2312" w:eastAsia="方正仿宋_GB2312" w:cs="方正仿宋_GB2312"/>
          <w:kern w:val="0"/>
          <w:sz w:val="32"/>
          <w:szCs w:val="32"/>
          <w:u w:val="none" w:color="auto"/>
          <w:lang w:val="en-US" w:eastAsia="zh-CN"/>
        </w:rPr>
        <w:t>0</w:t>
      </w:r>
      <w:r>
        <w:rPr>
          <w:rFonts w:hint="eastAsia" w:ascii="方正仿宋_GB2312" w:hAnsi="方正仿宋_GB2312" w:eastAsia="方正仿宋_GB2312" w:cs="方正仿宋_GB2312"/>
          <w:kern w:val="0"/>
          <w:sz w:val="32"/>
          <w:szCs w:val="32"/>
          <w:u w:val="none" w:color="auto"/>
        </w:rPr>
        <w:t>万元。与上年决算相比，增加</w:t>
      </w:r>
      <w:r>
        <w:rPr>
          <w:rFonts w:hint="eastAsia" w:ascii="方正仿宋_GB2312" w:hAnsi="方正仿宋_GB2312" w:eastAsia="方正仿宋_GB2312" w:cs="方正仿宋_GB2312"/>
          <w:kern w:val="0"/>
          <w:sz w:val="32"/>
          <w:szCs w:val="32"/>
          <w:u w:val="none" w:color="auto"/>
          <w:lang w:val="en-US" w:eastAsia="zh-CN"/>
        </w:rPr>
        <w:t>0</w:t>
      </w:r>
      <w:r>
        <w:rPr>
          <w:rFonts w:hint="eastAsia" w:ascii="方正仿宋_GB2312" w:hAnsi="方正仿宋_GB2312" w:eastAsia="方正仿宋_GB2312" w:cs="方正仿宋_GB2312"/>
          <w:kern w:val="0"/>
          <w:sz w:val="32"/>
          <w:szCs w:val="32"/>
          <w:u w:val="none" w:color="auto"/>
        </w:rPr>
        <w:t>万元，增长</w:t>
      </w:r>
      <w:r>
        <w:rPr>
          <w:rFonts w:hint="eastAsia" w:ascii="方正仿宋_GB2312" w:hAnsi="方正仿宋_GB2312" w:eastAsia="方正仿宋_GB2312" w:cs="方正仿宋_GB2312"/>
          <w:kern w:val="0"/>
          <w:sz w:val="32"/>
          <w:szCs w:val="32"/>
          <w:u w:val="none" w:color="auto"/>
          <w:lang w:val="en-US" w:eastAsia="zh-CN"/>
        </w:rPr>
        <w:t>0</w:t>
      </w:r>
      <w:r>
        <w:rPr>
          <w:rFonts w:hint="eastAsia" w:ascii="方正仿宋_GB2312" w:hAnsi="方正仿宋_GB2312" w:eastAsia="方正仿宋_GB2312" w:cs="方正仿宋_GB2312"/>
          <w:kern w:val="0"/>
          <w:sz w:val="32"/>
          <w:szCs w:val="32"/>
          <w:u w:val="none" w:color="auto"/>
        </w:rPr>
        <w:t>%，变动原因：</w:t>
      </w:r>
      <w:r>
        <w:rPr>
          <w:rFonts w:hint="eastAsia" w:ascii="方正仿宋_GB2312" w:hAnsi="方正仿宋_GB2312" w:eastAsia="方正仿宋_GB2312" w:cs="方正仿宋_GB2312"/>
          <w:kern w:val="0"/>
          <w:sz w:val="32"/>
          <w:szCs w:val="32"/>
          <w:u w:val="none" w:color="auto"/>
          <w:lang w:val="en-US" w:eastAsia="zh-CN"/>
        </w:rPr>
        <w:t>2024年度与2025年度均无国有资本经营预算</w:t>
      </w:r>
      <w:r>
        <w:rPr>
          <w:rFonts w:hint="eastAsia" w:ascii="方正仿宋_GB2312" w:hAnsi="方正仿宋_GB2312" w:eastAsia="方正仿宋_GB2312" w:cs="方正仿宋_GB2312"/>
          <w:kern w:val="0"/>
          <w:sz w:val="32"/>
          <w:szCs w:val="32"/>
          <w:u w:val="none" w:color="auto"/>
        </w:rPr>
        <w:t>。</w:t>
      </w:r>
    </w:p>
    <w:p w14:paraId="5AA9B1AB">
      <w:pPr>
        <w:pStyle w:val="29"/>
        <w:keepNext w:val="0"/>
        <w:keepLines w:val="0"/>
        <w:pageBreakBefore w:val="0"/>
        <w:widowControl/>
        <w:kinsoku/>
        <w:wordWrap/>
        <w:overflowPunct/>
        <w:topLinePunct w:val="0"/>
        <w:autoSpaceDE/>
        <w:autoSpaceDN/>
        <w:bidi w:val="0"/>
        <w:adjustRightInd/>
        <w:snapToGrid/>
        <w:spacing w:line="560" w:lineRule="exact"/>
        <w:ind w:firstLine="643"/>
        <w:jc w:val="left"/>
        <w:textAlignment w:val="auto"/>
        <w:rPr>
          <w:rFonts w:ascii="Times New Roman" w:hAnsi="Times New Roman" w:eastAsia="Times New Roman" w:cs="Times New Roman"/>
          <w:kern w:val="0"/>
          <w:sz w:val="24"/>
          <w:u w:val="none" w:color="auto"/>
        </w:rPr>
      </w:pPr>
      <w:r>
        <w:rPr>
          <w:rFonts w:ascii="黑体" w:hAnsi="黑体" w:eastAsia="黑体" w:cs="黑体"/>
          <w:b/>
          <w:bCs/>
          <w:kern w:val="0"/>
          <w:sz w:val="32"/>
          <w:szCs w:val="32"/>
          <w:u w:val="none" w:color="auto"/>
        </w:rPr>
        <w:t>十一、机关运行经费（公用经费）支出决算情况说明</w:t>
      </w:r>
    </w:p>
    <w:p w14:paraId="33C4D99E">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方正仿宋_GB2312" w:hAnsi="方正仿宋_GB2312" w:eastAsia="方正仿宋_GB2312" w:cs="方正仿宋_GB2312"/>
          <w:kern w:val="0"/>
          <w:sz w:val="32"/>
          <w:szCs w:val="32"/>
          <w:u w:val="none" w:color="auto"/>
          <w:shd w:val="clear" w:color="auto" w:fill="auto"/>
        </w:rPr>
      </w:pPr>
      <w:r>
        <w:rPr>
          <w:rFonts w:hint="eastAsia" w:ascii="方正仿宋_GB2312" w:hAnsi="方正仿宋_GB2312" w:eastAsia="方正仿宋_GB2312" w:cs="方正仿宋_GB2312"/>
          <w:kern w:val="0"/>
          <w:sz w:val="32"/>
          <w:szCs w:val="32"/>
          <w:u w:val="none" w:color="auto"/>
          <w:shd w:val="clear" w:color="auto" w:fill="auto"/>
        </w:rPr>
        <w:t xml:space="preserve">内蒙古自治区巴彦淖尔市卫生健康委员会（本级） </w:t>
      </w:r>
      <w:r>
        <w:rPr>
          <w:rFonts w:hint="eastAsia" w:ascii="方正仿宋_GB2312" w:hAnsi="方正仿宋_GB2312" w:eastAsia="方正仿宋_GB2312" w:cs="方正仿宋_GB2312"/>
          <w:kern w:val="0"/>
          <w:sz w:val="32"/>
          <w:szCs w:val="32"/>
          <w:u w:val="none" w:color="auto"/>
          <w:shd w:val="clear" w:color="auto" w:fill="auto"/>
          <w:lang w:eastAsia="en-US"/>
        </w:rPr>
        <w:t>2025</w:t>
      </w:r>
      <w:r>
        <w:rPr>
          <w:rFonts w:hint="eastAsia" w:ascii="方正仿宋_GB2312" w:hAnsi="方正仿宋_GB2312" w:eastAsia="方正仿宋_GB2312" w:cs="方正仿宋_GB2312"/>
          <w:kern w:val="0"/>
          <w:sz w:val="32"/>
          <w:szCs w:val="32"/>
          <w:u w:val="none" w:color="auto"/>
          <w:shd w:val="clear" w:color="auto" w:fill="auto"/>
        </w:rPr>
        <w:t>年度公用经费支出决算</w:t>
      </w:r>
      <w:r>
        <w:rPr>
          <w:rFonts w:hint="eastAsia" w:ascii="方正仿宋_GB2312" w:hAnsi="方正仿宋_GB2312" w:eastAsia="方正仿宋_GB2312" w:cs="方正仿宋_GB2312"/>
          <w:kern w:val="0"/>
          <w:sz w:val="32"/>
          <w:szCs w:val="32"/>
          <w:u w:val="none" w:color="auto"/>
          <w:shd w:val="clear" w:color="auto" w:fill="auto"/>
          <w:lang w:eastAsia="en-US"/>
        </w:rPr>
        <w:t xml:space="preserve"> 69.90</w:t>
      </w:r>
      <w:r>
        <w:rPr>
          <w:rFonts w:hint="eastAsia" w:ascii="方正仿宋_GB2312" w:hAnsi="方正仿宋_GB2312" w:eastAsia="方正仿宋_GB2312" w:cs="方正仿宋_GB2312"/>
          <w:kern w:val="0"/>
          <w:sz w:val="32"/>
          <w:szCs w:val="32"/>
          <w:u w:val="none" w:color="auto"/>
          <w:shd w:val="clear" w:color="auto" w:fill="auto"/>
        </w:rPr>
        <w:t>万元，与上年决算相比，减少</w:t>
      </w:r>
      <w:r>
        <w:rPr>
          <w:rFonts w:hint="eastAsia" w:ascii="方正仿宋_GB2312" w:hAnsi="方正仿宋_GB2312" w:eastAsia="方正仿宋_GB2312" w:cs="方正仿宋_GB2312"/>
          <w:kern w:val="0"/>
          <w:sz w:val="32"/>
          <w:szCs w:val="32"/>
          <w:u w:val="none" w:color="auto"/>
          <w:shd w:val="clear" w:color="auto" w:fill="auto"/>
          <w:lang w:eastAsia="en-US"/>
        </w:rPr>
        <w:t>26.96</w:t>
      </w:r>
      <w:r>
        <w:rPr>
          <w:rFonts w:hint="eastAsia" w:ascii="方正仿宋_GB2312" w:hAnsi="方正仿宋_GB2312" w:eastAsia="方正仿宋_GB2312" w:cs="方正仿宋_GB2312"/>
          <w:kern w:val="0"/>
          <w:sz w:val="32"/>
          <w:szCs w:val="32"/>
          <w:u w:val="none" w:color="auto"/>
          <w:shd w:val="clear" w:color="auto" w:fill="auto"/>
        </w:rPr>
        <w:t>万元，下降</w:t>
      </w:r>
      <w:r>
        <w:rPr>
          <w:rFonts w:hint="eastAsia" w:ascii="方正仿宋_GB2312" w:hAnsi="方正仿宋_GB2312" w:eastAsia="方正仿宋_GB2312" w:cs="方正仿宋_GB2312"/>
          <w:kern w:val="0"/>
          <w:sz w:val="32"/>
          <w:szCs w:val="32"/>
          <w:u w:val="none" w:color="auto"/>
          <w:shd w:val="clear" w:color="auto" w:fill="auto"/>
          <w:lang w:eastAsia="en-US"/>
        </w:rPr>
        <w:t>27.83%</w:t>
      </w:r>
      <w:r>
        <w:rPr>
          <w:rFonts w:hint="eastAsia" w:ascii="方正仿宋_GB2312" w:hAnsi="方正仿宋_GB2312" w:eastAsia="方正仿宋_GB2312" w:cs="方正仿宋_GB2312"/>
          <w:kern w:val="0"/>
          <w:sz w:val="32"/>
          <w:szCs w:val="32"/>
          <w:u w:val="none" w:color="auto"/>
          <w:shd w:val="clear" w:color="auto" w:fill="auto"/>
        </w:rPr>
        <w:t>，变动原因：</w:t>
      </w:r>
      <w:r>
        <w:rPr>
          <w:rFonts w:hint="eastAsia" w:ascii="方正仿宋_GB2312" w:hAnsi="方正仿宋_GB2312" w:eastAsia="方正仿宋_GB2312" w:cs="方正仿宋_GB2312"/>
          <w:kern w:val="0"/>
          <w:sz w:val="32"/>
          <w:szCs w:val="32"/>
          <w:u w:val="none" w:color="auto"/>
          <w:shd w:val="clear" w:color="auto" w:fill="auto"/>
          <w:lang w:eastAsia="zh-CN"/>
        </w:rPr>
        <w:t>厉行节约，减少浪费</w:t>
      </w:r>
      <w:r>
        <w:rPr>
          <w:rFonts w:hint="eastAsia" w:ascii="方正仿宋_GB2312" w:hAnsi="方正仿宋_GB2312" w:eastAsia="方正仿宋_GB2312" w:cs="方正仿宋_GB2312"/>
          <w:kern w:val="0"/>
          <w:sz w:val="32"/>
          <w:szCs w:val="32"/>
          <w:u w:val="none" w:color="auto"/>
          <w:shd w:val="clear" w:color="auto" w:fill="auto"/>
        </w:rPr>
        <w:t>。其中，机关运行经费支出决算</w:t>
      </w:r>
      <w:r>
        <w:rPr>
          <w:rFonts w:hint="eastAsia" w:ascii="方正仿宋_GB2312" w:hAnsi="方正仿宋_GB2312" w:eastAsia="方正仿宋_GB2312" w:cs="方正仿宋_GB2312"/>
          <w:kern w:val="0"/>
          <w:sz w:val="32"/>
          <w:szCs w:val="32"/>
          <w:u w:val="none" w:color="auto"/>
          <w:shd w:val="clear" w:color="auto" w:fill="auto"/>
          <w:lang w:eastAsia="en-US"/>
        </w:rPr>
        <w:t xml:space="preserve"> 69.90</w:t>
      </w:r>
      <w:r>
        <w:rPr>
          <w:rFonts w:hint="eastAsia" w:ascii="方正仿宋_GB2312" w:hAnsi="方正仿宋_GB2312" w:eastAsia="方正仿宋_GB2312" w:cs="方正仿宋_GB2312"/>
          <w:kern w:val="0"/>
          <w:sz w:val="32"/>
          <w:szCs w:val="32"/>
          <w:u w:val="none" w:color="auto"/>
          <w:shd w:val="clear" w:color="auto" w:fill="auto"/>
        </w:rPr>
        <w:t>万元。比上年决算相比，减少</w:t>
      </w:r>
      <w:r>
        <w:rPr>
          <w:rFonts w:hint="eastAsia" w:ascii="方正仿宋_GB2312" w:hAnsi="方正仿宋_GB2312" w:eastAsia="方正仿宋_GB2312" w:cs="方正仿宋_GB2312"/>
          <w:kern w:val="0"/>
          <w:sz w:val="32"/>
          <w:szCs w:val="32"/>
          <w:u w:val="none" w:color="auto"/>
          <w:shd w:val="clear" w:color="auto" w:fill="auto"/>
          <w:lang w:eastAsia="en-US"/>
        </w:rPr>
        <w:t>26.96</w:t>
      </w:r>
      <w:r>
        <w:rPr>
          <w:rFonts w:hint="eastAsia" w:ascii="方正仿宋_GB2312" w:hAnsi="方正仿宋_GB2312" w:eastAsia="方正仿宋_GB2312" w:cs="方正仿宋_GB2312"/>
          <w:kern w:val="0"/>
          <w:sz w:val="32"/>
          <w:szCs w:val="32"/>
          <w:u w:val="none" w:color="auto"/>
          <w:shd w:val="clear" w:color="auto" w:fill="auto"/>
        </w:rPr>
        <w:t>万元，下降</w:t>
      </w:r>
      <w:r>
        <w:rPr>
          <w:rFonts w:hint="eastAsia" w:ascii="方正仿宋_GB2312" w:hAnsi="方正仿宋_GB2312" w:eastAsia="方正仿宋_GB2312" w:cs="方正仿宋_GB2312"/>
          <w:kern w:val="0"/>
          <w:sz w:val="32"/>
          <w:szCs w:val="32"/>
          <w:u w:val="none" w:color="auto"/>
          <w:shd w:val="clear" w:color="auto" w:fill="auto"/>
          <w:lang w:eastAsia="en-US"/>
        </w:rPr>
        <w:t>27.83%</w:t>
      </w:r>
      <w:r>
        <w:rPr>
          <w:rFonts w:hint="eastAsia" w:ascii="方正仿宋_GB2312" w:hAnsi="方正仿宋_GB2312" w:eastAsia="方正仿宋_GB2312" w:cs="方正仿宋_GB2312"/>
          <w:kern w:val="0"/>
          <w:sz w:val="32"/>
          <w:szCs w:val="32"/>
          <w:u w:val="none" w:color="auto"/>
          <w:shd w:val="clear" w:color="auto" w:fill="auto"/>
        </w:rPr>
        <w:t>，变动原因：</w:t>
      </w:r>
      <w:r>
        <w:rPr>
          <w:rFonts w:hint="eastAsia" w:ascii="方正仿宋_GB2312" w:hAnsi="方正仿宋_GB2312" w:eastAsia="方正仿宋_GB2312" w:cs="方正仿宋_GB2312"/>
          <w:kern w:val="0"/>
          <w:sz w:val="32"/>
          <w:szCs w:val="32"/>
          <w:u w:val="none" w:color="auto"/>
          <w:shd w:val="clear" w:color="auto" w:fill="auto"/>
          <w:lang w:eastAsia="zh-CN"/>
        </w:rPr>
        <w:t>厉行节约，减少浪费</w:t>
      </w:r>
      <w:r>
        <w:rPr>
          <w:rFonts w:hint="eastAsia" w:ascii="方正仿宋_GB2312" w:hAnsi="方正仿宋_GB2312" w:eastAsia="方正仿宋_GB2312" w:cs="方正仿宋_GB2312"/>
          <w:kern w:val="0"/>
          <w:sz w:val="32"/>
          <w:szCs w:val="32"/>
          <w:u w:val="none" w:color="auto"/>
          <w:shd w:val="clear" w:color="auto" w:fill="auto"/>
        </w:rPr>
        <w:t>。</w:t>
      </w:r>
    </w:p>
    <w:p w14:paraId="7A846348">
      <w:pPr>
        <w:pStyle w:val="29"/>
        <w:keepNext w:val="0"/>
        <w:keepLines w:val="0"/>
        <w:pageBreakBefore w:val="0"/>
        <w:widowControl/>
        <w:kinsoku/>
        <w:wordWrap/>
        <w:overflowPunct/>
        <w:topLinePunct w:val="0"/>
        <w:autoSpaceDE/>
        <w:autoSpaceDN/>
        <w:bidi w:val="0"/>
        <w:adjustRightInd/>
        <w:snapToGrid/>
        <w:spacing w:line="560" w:lineRule="exact"/>
        <w:ind w:firstLine="643"/>
        <w:jc w:val="left"/>
        <w:textAlignment w:val="auto"/>
        <w:rPr>
          <w:rFonts w:ascii="Times New Roman" w:hAnsi="Times New Roman" w:eastAsia="Times New Roman" w:cs="Times New Roman"/>
          <w:kern w:val="0"/>
          <w:sz w:val="24"/>
          <w:highlight w:val="none"/>
          <w:u w:val="none" w:color="auto"/>
        </w:rPr>
      </w:pPr>
      <w:r>
        <w:rPr>
          <w:rFonts w:ascii="黑体" w:hAnsi="黑体" w:eastAsia="黑体" w:cs="黑体"/>
          <w:b/>
          <w:bCs/>
          <w:kern w:val="0"/>
          <w:sz w:val="32"/>
          <w:szCs w:val="32"/>
          <w:highlight w:val="none"/>
          <w:u w:val="none" w:color="auto"/>
        </w:rPr>
        <w:t>十二、政府采购支出决算情况说明</w:t>
      </w:r>
    </w:p>
    <w:p w14:paraId="6CA54E20">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方正仿宋_GB2312" w:hAnsi="方正仿宋_GB2312" w:eastAsia="方正仿宋_GB2312" w:cs="方正仿宋_GB2312"/>
          <w:kern w:val="0"/>
          <w:sz w:val="32"/>
          <w:szCs w:val="32"/>
          <w:u w:val="none" w:color="auto"/>
          <w:shd w:val="clear" w:color="auto" w:fill="auto"/>
        </w:rPr>
      </w:pPr>
      <w:r>
        <w:rPr>
          <w:rFonts w:hint="eastAsia" w:ascii="方正仿宋_GB2312" w:hAnsi="方正仿宋_GB2312" w:eastAsia="方正仿宋_GB2312" w:cs="方正仿宋_GB2312"/>
          <w:kern w:val="0"/>
          <w:sz w:val="32"/>
          <w:szCs w:val="32"/>
          <w:u w:val="none" w:color="auto"/>
          <w:shd w:val="clear" w:color="auto" w:fill="auto"/>
        </w:rPr>
        <w:t>内蒙古自治区巴彦淖尔市卫生健康委员会（本级）</w:t>
      </w:r>
      <w:r>
        <w:rPr>
          <w:rFonts w:hint="eastAsia" w:ascii="方正仿宋_GB2312" w:hAnsi="方正仿宋_GB2312" w:eastAsia="方正仿宋_GB2312" w:cs="方正仿宋_GB2312"/>
          <w:kern w:val="0"/>
          <w:sz w:val="32"/>
          <w:szCs w:val="32"/>
          <w:u w:val="none" w:color="auto"/>
          <w:shd w:val="clear" w:color="auto" w:fill="auto"/>
          <w:lang w:eastAsia="en-US"/>
        </w:rPr>
        <w:t>2025</w:t>
      </w:r>
      <w:r>
        <w:rPr>
          <w:rFonts w:hint="eastAsia" w:ascii="方正仿宋_GB2312" w:hAnsi="方正仿宋_GB2312" w:eastAsia="方正仿宋_GB2312" w:cs="方正仿宋_GB2312"/>
          <w:kern w:val="0"/>
          <w:sz w:val="32"/>
          <w:szCs w:val="32"/>
          <w:u w:val="none" w:color="auto"/>
          <w:shd w:val="clear" w:color="auto" w:fill="auto"/>
        </w:rPr>
        <w:t>年度政府采购支出总额</w:t>
      </w:r>
      <w:r>
        <w:rPr>
          <w:rFonts w:hint="eastAsia" w:ascii="方正仿宋_GB2312" w:hAnsi="方正仿宋_GB2312" w:eastAsia="方正仿宋_GB2312" w:cs="方正仿宋_GB2312"/>
          <w:kern w:val="0"/>
          <w:sz w:val="32"/>
          <w:szCs w:val="32"/>
          <w:u w:val="none" w:color="auto"/>
          <w:shd w:val="clear" w:color="auto" w:fill="auto"/>
          <w:lang w:eastAsia="en-US"/>
        </w:rPr>
        <w:t xml:space="preserve"> 94.95</w:t>
      </w:r>
      <w:r>
        <w:rPr>
          <w:rFonts w:hint="eastAsia" w:ascii="方正仿宋_GB2312" w:hAnsi="方正仿宋_GB2312" w:eastAsia="方正仿宋_GB2312" w:cs="方正仿宋_GB2312"/>
          <w:kern w:val="0"/>
          <w:sz w:val="32"/>
          <w:szCs w:val="32"/>
          <w:u w:val="none" w:color="auto"/>
          <w:shd w:val="clear" w:color="auto" w:fill="auto"/>
        </w:rPr>
        <w:t>万元，其中：政府采购货物支出</w:t>
      </w:r>
      <w:r>
        <w:rPr>
          <w:rFonts w:hint="eastAsia" w:ascii="方正仿宋_GB2312" w:hAnsi="方正仿宋_GB2312" w:eastAsia="方正仿宋_GB2312" w:cs="方正仿宋_GB2312"/>
          <w:kern w:val="0"/>
          <w:sz w:val="32"/>
          <w:szCs w:val="32"/>
          <w:u w:val="none" w:color="auto"/>
          <w:shd w:val="clear" w:color="auto" w:fill="auto"/>
          <w:lang w:eastAsia="en-US"/>
        </w:rPr>
        <w:t xml:space="preserve"> 7.26</w:t>
      </w:r>
      <w:r>
        <w:rPr>
          <w:rFonts w:hint="eastAsia" w:ascii="方正仿宋_GB2312" w:hAnsi="方正仿宋_GB2312" w:eastAsia="方正仿宋_GB2312" w:cs="方正仿宋_GB2312"/>
          <w:kern w:val="0"/>
          <w:sz w:val="32"/>
          <w:szCs w:val="32"/>
          <w:u w:val="none" w:color="auto"/>
          <w:shd w:val="clear" w:color="auto" w:fill="auto"/>
        </w:rPr>
        <w:t>万元、政府采购工程支出</w:t>
      </w:r>
      <w:r>
        <w:rPr>
          <w:rFonts w:hint="eastAsia" w:ascii="方正仿宋_GB2312" w:hAnsi="方正仿宋_GB2312" w:eastAsia="方正仿宋_GB2312" w:cs="方正仿宋_GB2312"/>
          <w:kern w:val="0"/>
          <w:sz w:val="32"/>
          <w:szCs w:val="32"/>
          <w:u w:val="none" w:color="auto"/>
          <w:shd w:val="clear" w:color="auto" w:fill="auto"/>
          <w:lang w:eastAsia="en-US"/>
        </w:rPr>
        <w:t xml:space="preserve"> 0</w:t>
      </w:r>
      <w:r>
        <w:rPr>
          <w:rFonts w:hint="eastAsia" w:ascii="方正仿宋_GB2312" w:hAnsi="方正仿宋_GB2312" w:eastAsia="方正仿宋_GB2312" w:cs="方正仿宋_GB2312"/>
          <w:kern w:val="0"/>
          <w:sz w:val="32"/>
          <w:szCs w:val="32"/>
          <w:u w:val="none" w:color="auto"/>
          <w:shd w:val="clear" w:color="auto" w:fill="auto"/>
        </w:rPr>
        <w:t>万元、政府采购服务支出</w:t>
      </w:r>
      <w:r>
        <w:rPr>
          <w:rFonts w:hint="eastAsia" w:ascii="方正仿宋_GB2312" w:hAnsi="方正仿宋_GB2312" w:eastAsia="方正仿宋_GB2312" w:cs="方正仿宋_GB2312"/>
          <w:kern w:val="0"/>
          <w:sz w:val="32"/>
          <w:szCs w:val="32"/>
          <w:u w:val="none" w:color="auto"/>
          <w:shd w:val="clear" w:color="auto" w:fill="auto"/>
          <w:lang w:eastAsia="en-US"/>
        </w:rPr>
        <w:t xml:space="preserve"> 87.68</w:t>
      </w:r>
      <w:r>
        <w:rPr>
          <w:rFonts w:hint="eastAsia" w:ascii="方正仿宋_GB2312" w:hAnsi="方正仿宋_GB2312" w:eastAsia="方正仿宋_GB2312" w:cs="方正仿宋_GB2312"/>
          <w:kern w:val="0"/>
          <w:sz w:val="32"/>
          <w:szCs w:val="32"/>
          <w:u w:val="none" w:color="auto"/>
          <w:shd w:val="clear" w:color="auto" w:fill="auto"/>
        </w:rPr>
        <w:t>万元。政府采购授予中小企业合同金额</w:t>
      </w:r>
      <w:r>
        <w:rPr>
          <w:rFonts w:hint="eastAsia" w:ascii="方正仿宋_GB2312" w:hAnsi="方正仿宋_GB2312" w:eastAsia="方正仿宋_GB2312" w:cs="方正仿宋_GB2312"/>
          <w:kern w:val="0"/>
          <w:sz w:val="32"/>
          <w:szCs w:val="32"/>
          <w:u w:val="none" w:color="auto"/>
          <w:shd w:val="clear" w:color="auto" w:fill="auto"/>
          <w:lang w:eastAsia="en-US"/>
        </w:rPr>
        <w:t xml:space="preserve"> 83.46</w:t>
      </w:r>
      <w:r>
        <w:rPr>
          <w:rFonts w:hint="eastAsia" w:ascii="方正仿宋_GB2312" w:hAnsi="方正仿宋_GB2312" w:eastAsia="方正仿宋_GB2312" w:cs="方正仿宋_GB2312"/>
          <w:kern w:val="0"/>
          <w:sz w:val="32"/>
          <w:szCs w:val="32"/>
          <w:u w:val="none" w:color="auto"/>
          <w:shd w:val="clear" w:color="auto" w:fill="auto"/>
        </w:rPr>
        <w:t>万元，占政府采购支出总额的</w:t>
      </w:r>
      <w:r>
        <w:rPr>
          <w:rFonts w:hint="eastAsia" w:ascii="方正仿宋_GB2312" w:hAnsi="方正仿宋_GB2312" w:eastAsia="方正仿宋_GB2312" w:cs="方正仿宋_GB2312"/>
          <w:kern w:val="0"/>
          <w:sz w:val="32"/>
          <w:szCs w:val="32"/>
          <w:u w:val="none" w:color="auto"/>
          <w:shd w:val="clear" w:color="auto" w:fill="auto"/>
          <w:lang w:val="en-US" w:eastAsia="zh-CN"/>
        </w:rPr>
        <w:t>87.9</w:t>
      </w:r>
      <w:r>
        <w:rPr>
          <w:rFonts w:hint="eastAsia" w:ascii="方正仿宋_GB2312" w:hAnsi="方正仿宋_GB2312" w:eastAsia="方正仿宋_GB2312" w:cs="方正仿宋_GB2312"/>
          <w:kern w:val="0"/>
          <w:sz w:val="32"/>
          <w:szCs w:val="32"/>
          <w:u w:val="none" w:color="auto"/>
          <w:shd w:val="clear" w:color="auto" w:fill="auto"/>
          <w:lang w:eastAsia="en-US"/>
        </w:rPr>
        <w:t>%</w:t>
      </w:r>
      <w:r>
        <w:rPr>
          <w:rFonts w:hint="eastAsia" w:ascii="方正仿宋_GB2312" w:hAnsi="方正仿宋_GB2312" w:eastAsia="方正仿宋_GB2312" w:cs="方正仿宋_GB2312"/>
          <w:kern w:val="0"/>
          <w:sz w:val="32"/>
          <w:szCs w:val="32"/>
          <w:u w:val="none" w:color="auto"/>
          <w:shd w:val="clear" w:color="auto" w:fill="auto"/>
        </w:rPr>
        <w:t>，其中：授予小微企业合同金额</w:t>
      </w:r>
      <w:r>
        <w:rPr>
          <w:rFonts w:hint="eastAsia" w:ascii="方正仿宋_GB2312" w:hAnsi="方正仿宋_GB2312" w:eastAsia="方正仿宋_GB2312" w:cs="方正仿宋_GB2312"/>
          <w:kern w:val="0"/>
          <w:sz w:val="32"/>
          <w:szCs w:val="32"/>
          <w:u w:val="none" w:color="auto"/>
          <w:shd w:val="clear" w:color="auto" w:fill="auto"/>
          <w:lang w:eastAsia="en-US"/>
        </w:rPr>
        <w:t xml:space="preserve"> 75.01</w:t>
      </w:r>
      <w:r>
        <w:rPr>
          <w:rFonts w:hint="eastAsia" w:ascii="方正仿宋_GB2312" w:hAnsi="方正仿宋_GB2312" w:eastAsia="方正仿宋_GB2312" w:cs="方正仿宋_GB2312"/>
          <w:kern w:val="0"/>
          <w:sz w:val="32"/>
          <w:szCs w:val="32"/>
          <w:u w:val="none" w:color="auto"/>
          <w:shd w:val="clear" w:color="auto" w:fill="auto"/>
        </w:rPr>
        <w:t>万元，占政府采购支出总额的</w:t>
      </w:r>
      <w:r>
        <w:rPr>
          <w:rFonts w:hint="eastAsia" w:ascii="方正仿宋_GB2312" w:hAnsi="方正仿宋_GB2312" w:eastAsia="方正仿宋_GB2312" w:cs="方正仿宋_GB2312"/>
          <w:kern w:val="0"/>
          <w:sz w:val="32"/>
          <w:szCs w:val="32"/>
          <w:u w:val="none" w:color="auto"/>
          <w:shd w:val="clear" w:color="auto" w:fill="auto"/>
          <w:lang w:val="en-US" w:eastAsia="zh-CN"/>
        </w:rPr>
        <w:t>79</w:t>
      </w:r>
      <w:r>
        <w:rPr>
          <w:rFonts w:hint="eastAsia" w:ascii="方正仿宋_GB2312" w:hAnsi="方正仿宋_GB2312" w:eastAsia="方正仿宋_GB2312" w:cs="方正仿宋_GB2312"/>
          <w:kern w:val="0"/>
          <w:sz w:val="32"/>
          <w:szCs w:val="32"/>
          <w:u w:val="none" w:color="auto"/>
          <w:shd w:val="clear" w:color="auto" w:fill="auto"/>
          <w:lang w:eastAsia="en-US"/>
        </w:rPr>
        <w:t>%</w:t>
      </w:r>
      <w:r>
        <w:rPr>
          <w:rFonts w:hint="eastAsia" w:ascii="方正仿宋_GB2312" w:hAnsi="方正仿宋_GB2312" w:eastAsia="方正仿宋_GB2312" w:cs="方正仿宋_GB2312"/>
          <w:kern w:val="0"/>
          <w:sz w:val="32"/>
          <w:szCs w:val="32"/>
          <w:u w:val="none" w:color="auto"/>
          <w:shd w:val="clear" w:color="auto" w:fill="auto"/>
        </w:rPr>
        <w:t>；货物采购授予中小企业合同金额占货物支出金额的</w:t>
      </w:r>
      <w:r>
        <w:rPr>
          <w:rFonts w:hint="eastAsia" w:ascii="方正仿宋_GB2312" w:hAnsi="方正仿宋_GB2312" w:eastAsia="方正仿宋_GB2312" w:cs="方正仿宋_GB2312"/>
          <w:kern w:val="0"/>
          <w:sz w:val="32"/>
          <w:szCs w:val="32"/>
          <w:u w:val="none" w:color="auto"/>
          <w:shd w:val="clear" w:color="auto" w:fill="auto"/>
          <w:lang w:val="en-US" w:eastAsia="zh-CN"/>
        </w:rPr>
        <w:t>8.7</w:t>
      </w:r>
      <w:r>
        <w:rPr>
          <w:rFonts w:hint="eastAsia" w:ascii="方正仿宋_GB2312" w:hAnsi="方正仿宋_GB2312" w:eastAsia="方正仿宋_GB2312" w:cs="方正仿宋_GB2312"/>
          <w:kern w:val="0"/>
          <w:sz w:val="32"/>
          <w:szCs w:val="32"/>
          <w:u w:val="none" w:color="auto"/>
          <w:shd w:val="clear" w:color="auto" w:fill="auto"/>
          <w:lang w:eastAsia="en-US"/>
        </w:rPr>
        <w:t>%</w:t>
      </w:r>
      <w:r>
        <w:rPr>
          <w:rFonts w:hint="eastAsia" w:ascii="方正仿宋_GB2312" w:hAnsi="方正仿宋_GB2312" w:eastAsia="方正仿宋_GB2312" w:cs="方正仿宋_GB2312"/>
          <w:kern w:val="0"/>
          <w:sz w:val="32"/>
          <w:szCs w:val="32"/>
          <w:u w:val="none" w:color="auto"/>
          <w:shd w:val="clear" w:color="auto" w:fill="auto"/>
        </w:rPr>
        <w:t>，工程采购授予中小企业合同金额占工程支出金额的</w:t>
      </w:r>
      <w:r>
        <w:rPr>
          <w:rFonts w:hint="eastAsia" w:ascii="方正仿宋_GB2312" w:hAnsi="方正仿宋_GB2312" w:eastAsia="方正仿宋_GB2312" w:cs="方正仿宋_GB2312"/>
          <w:kern w:val="0"/>
          <w:sz w:val="32"/>
          <w:szCs w:val="32"/>
          <w:u w:val="none" w:color="auto"/>
          <w:shd w:val="clear" w:color="auto" w:fill="auto"/>
          <w:lang w:val="en-US" w:eastAsia="zh-CN"/>
        </w:rPr>
        <w:t>0</w:t>
      </w:r>
      <w:r>
        <w:rPr>
          <w:rFonts w:hint="eastAsia" w:ascii="方正仿宋_GB2312" w:hAnsi="方正仿宋_GB2312" w:eastAsia="方正仿宋_GB2312" w:cs="方正仿宋_GB2312"/>
          <w:kern w:val="0"/>
          <w:sz w:val="32"/>
          <w:szCs w:val="32"/>
          <w:u w:val="none" w:color="auto"/>
          <w:shd w:val="clear" w:color="auto" w:fill="auto"/>
          <w:lang w:eastAsia="en-US"/>
        </w:rPr>
        <w:t>%</w:t>
      </w:r>
      <w:r>
        <w:rPr>
          <w:rFonts w:hint="eastAsia" w:ascii="方正仿宋_GB2312" w:hAnsi="方正仿宋_GB2312" w:eastAsia="方正仿宋_GB2312" w:cs="方正仿宋_GB2312"/>
          <w:kern w:val="0"/>
          <w:sz w:val="32"/>
          <w:szCs w:val="32"/>
          <w:u w:val="none" w:color="auto"/>
          <w:shd w:val="clear" w:color="auto" w:fill="auto"/>
        </w:rPr>
        <w:t>，服务采购授予中小企业合同金额占服务支出金额的</w:t>
      </w:r>
      <w:r>
        <w:rPr>
          <w:rFonts w:hint="eastAsia" w:ascii="方正仿宋_GB2312" w:hAnsi="方正仿宋_GB2312" w:eastAsia="方正仿宋_GB2312" w:cs="方正仿宋_GB2312"/>
          <w:kern w:val="0"/>
          <w:sz w:val="32"/>
          <w:szCs w:val="32"/>
          <w:u w:val="none" w:color="auto"/>
          <w:shd w:val="clear" w:color="auto" w:fill="auto"/>
          <w:lang w:val="en-US" w:eastAsia="zh-CN"/>
        </w:rPr>
        <w:t>95.19</w:t>
      </w:r>
      <w:r>
        <w:rPr>
          <w:rFonts w:hint="eastAsia" w:ascii="方正仿宋_GB2312" w:hAnsi="方正仿宋_GB2312" w:eastAsia="方正仿宋_GB2312" w:cs="方正仿宋_GB2312"/>
          <w:kern w:val="0"/>
          <w:sz w:val="32"/>
          <w:szCs w:val="32"/>
          <w:u w:val="none" w:color="auto"/>
          <w:shd w:val="clear" w:color="auto" w:fill="auto"/>
          <w:lang w:eastAsia="en-US"/>
        </w:rPr>
        <w:t>%</w:t>
      </w:r>
      <w:r>
        <w:rPr>
          <w:rFonts w:hint="eastAsia" w:ascii="方正仿宋_GB2312" w:hAnsi="方正仿宋_GB2312" w:eastAsia="方正仿宋_GB2312" w:cs="方正仿宋_GB2312"/>
          <w:kern w:val="0"/>
          <w:sz w:val="32"/>
          <w:szCs w:val="32"/>
          <w:u w:val="none" w:color="auto"/>
          <w:shd w:val="clear" w:color="auto" w:fill="auto"/>
        </w:rPr>
        <w:t>。</w:t>
      </w:r>
    </w:p>
    <w:p w14:paraId="35375911">
      <w:pPr>
        <w:pStyle w:val="29"/>
        <w:keepNext w:val="0"/>
        <w:keepLines w:val="0"/>
        <w:pageBreakBefore w:val="0"/>
        <w:widowControl/>
        <w:kinsoku/>
        <w:wordWrap/>
        <w:overflowPunct/>
        <w:topLinePunct w:val="0"/>
        <w:autoSpaceDE/>
        <w:autoSpaceDN/>
        <w:bidi w:val="0"/>
        <w:adjustRightInd/>
        <w:snapToGrid/>
        <w:spacing w:line="560" w:lineRule="exact"/>
        <w:ind w:firstLine="643"/>
        <w:jc w:val="left"/>
        <w:textAlignment w:val="auto"/>
        <w:rPr>
          <w:rFonts w:ascii="Times New Roman" w:hAnsi="Times New Roman" w:eastAsia="Times New Roman" w:cs="Times New Roman"/>
          <w:kern w:val="0"/>
          <w:sz w:val="24"/>
          <w:u w:val="none" w:color="auto"/>
        </w:rPr>
      </w:pPr>
      <w:r>
        <w:rPr>
          <w:rFonts w:ascii="黑体" w:hAnsi="黑体" w:eastAsia="黑体" w:cs="黑体"/>
          <w:b/>
          <w:bCs/>
          <w:kern w:val="0"/>
          <w:sz w:val="32"/>
          <w:szCs w:val="32"/>
          <w:u w:val="none" w:color="auto"/>
        </w:rPr>
        <w:t>十三、国有资产占用情况说明</w:t>
      </w:r>
    </w:p>
    <w:p w14:paraId="3DC25A68">
      <w:pPr>
        <w:pStyle w:val="29"/>
        <w:keepNext w:val="0"/>
        <w:keepLines w:val="0"/>
        <w:pageBreakBefore w:val="0"/>
        <w:widowControl/>
        <w:kinsoku/>
        <w:wordWrap/>
        <w:overflowPunct/>
        <w:topLinePunct w:val="0"/>
        <w:autoSpaceDE/>
        <w:autoSpaceDN/>
        <w:bidi w:val="0"/>
        <w:adjustRightInd/>
        <w:snapToGrid/>
        <w:spacing w:line="560" w:lineRule="exact"/>
        <w:ind w:firstLine="640"/>
        <w:jc w:val="both"/>
        <w:textAlignment w:val="auto"/>
        <w:rPr>
          <w:rFonts w:hint="eastAsia" w:ascii="方正仿宋_GB2312" w:hAnsi="方正仿宋_GB2312" w:eastAsia="方正仿宋_GB2312" w:cs="方正仿宋_GB2312"/>
          <w:kern w:val="0"/>
          <w:sz w:val="24"/>
          <w:u w:val="none" w:color="auto"/>
        </w:rPr>
      </w:pPr>
      <w:r>
        <w:rPr>
          <w:rFonts w:hint="eastAsia" w:ascii="方正仿宋_GB2312" w:hAnsi="方正仿宋_GB2312" w:eastAsia="方正仿宋_GB2312" w:cs="方正仿宋_GB2312"/>
          <w:kern w:val="0"/>
          <w:sz w:val="32"/>
          <w:szCs w:val="32"/>
          <w:u w:val="none" w:color="auto"/>
        </w:rPr>
        <w:t>内蒙古自治区巴彦淖尔市卫生健康委员会（本级）截至</w:t>
      </w:r>
      <w:r>
        <w:rPr>
          <w:rFonts w:hint="eastAsia" w:ascii="方正仿宋_GB2312" w:hAnsi="方正仿宋_GB2312" w:eastAsia="方正仿宋_GB2312" w:cs="方正仿宋_GB2312"/>
          <w:kern w:val="0"/>
          <w:sz w:val="32"/>
          <w:szCs w:val="32"/>
          <w:u w:val="none" w:color="auto"/>
          <w:lang w:eastAsia="en-US"/>
        </w:rPr>
        <w:t>2025</w:t>
      </w:r>
      <w:r>
        <w:rPr>
          <w:rFonts w:hint="eastAsia" w:ascii="方正仿宋_GB2312" w:hAnsi="方正仿宋_GB2312" w:eastAsia="方正仿宋_GB2312" w:cs="方正仿宋_GB2312"/>
          <w:kern w:val="0"/>
          <w:sz w:val="32"/>
          <w:szCs w:val="32"/>
          <w:u w:val="none" w:color="auto"/>
        </w:rPr>
        <w:t>年</w:t>
      </w:r>
      <w:r>
        <w:rPr>
          <w:rFonts w:hint="eastAsia" w:ascii="方正仿宋_GB2312" w:hAnsi="方正仿宋_GB2312" w:eastAsia="方正仿宋_GB2312" w:cs="方正仿宋_GB2312"/>
          <w:kern w:val="0"/>
          <w:sz w:val="32"/>
          <w:szCs w:val="32"/>
          <w:u w:val="none" w:color="auto"/>
          <w:lang w:eastAsia="en-US"/>
        </w:rPr>
        <w:t>12</w:t>
      </w:r>
      <w:r>
        <w:rPr>
          <w:rFonts w:hint="eastAsia" w:ascii="方正仿宋_GB2312" w:hAnsi="方正仿宋_GB2312" w:eastAsia="方正仿宋_GB2312" w:cs="方正仿宋_GB2312"/>
          <w:kern w:val="0"/>
          <w:sz w:val="32"/>
          <w:szCs w:val="32"/>
          <w:u w:val="none" w:color="auto"/>
        </w:rPr>
        <w:t>月</w:t>
      </w:r>
      <w:r>
        <w:rPr>
          <w:rFonts w:hint="eastAsia" w:ascii="方正仿宋_GB2312" w:hAnsi="方正仿宋_GB2312" w:eastAsia="方正仿宋_GB2312" w:cs="方正仿宋_GB2312"/>
          <w:kern w:val="0"/>
          <w:sz w:val="32"/>
          <w:szCs w:val="32"/>
          <w:u w:val="none" w:color="auto"/>
          <w:lang w:eastAsia="en-US"/>
        </w:rPr>
        <w:t>31</w:t>
      </w:r>
      <w:r>
        <w:rPr>
          <w:rFonts w:hint="eastAsia" w:ascii="方正仿宋_GB2312" w:hAnsi="方正仿宋_GB2312" w:eastAsia="方正仿宋_GB2312" w:cs="方正仿宋_GB2312"/>
          <w:kern w:val="0"/>
          <w:sz w:val="32"/>
          <w:szCs w:val="32"/>
          <w:u w:val="none" w:color="auto"/>
        </w:rPr>
        <w:t>日，本单位共有车辆</w:t>
      </w:r>
      <w:r>
        <w:rPr>
          <w:rFonts w:hint="eastAsia" w:ascii="方正仿宋_GB2312" w:hAnsi="方正仿宋_GB2312" w:eastAsia="方正仿宋_GB2312" w:cs="方正仿宋_GB2312"/>
          <w:kern w:val="0"/>
          <w:sz w:val="32"/>
          <w:szCs w:val="32"/>
          <w:u w:val="none" w:color="auto"/>
          <w:lang w:eastAsia="en-US"/>
        </w:rPr>
        <w:t xml:space="preserve">2 </w:t>
      </w:r>
      <w:r>
        <w:rPr>
          <w:rFonts w:hint="eastAsia" w:ascii="方正仿宋_GB2312" w:hAnsi="方正仿宋_GB2312" w:eastAsia="方正仿宋_GB2312" w:cs="方正仿宋_GB2312"/>
          <w:kern w:val="0"/>
          <w:sz w:val="32"/>
          <w:szCs w:val="32"/>
          <w:u w:val="none" w:color="auto"/>
        </w:rPr>
        <w:t>辆，其中：副部（省）级及以上领导用车</w:t>
      </w:r>
      <w:r>
        <w:rPr>
          <w:rFonts w:hint="eastAsia" w:ascii="方正仿宋_GB2312" w:hAnsi="方正仿宋_GB2312" w:eastAsia="方正仿宋_GB2312" w:cs="方正仿宋_GB2312"/>
          <w:kern w:val="0"/>
          <w:sz w:val="32"/>
          <w:szCs w:val="32"/>
          <w:u w:val="none" w:color="auto"/>
          <w:lang w:eastAsia="en-US"/>
        </w:rPr>
        <w:t xml:space="preserve">0 </w:t>
      </w:r>
      <w:r>
        <w:rPr>
          <w:rFonts w:hint="eastAsia" w:ascii="方正仿宋_GB2312" w:hAnsi="方正仿宋_GB2312" w:eastAsia="方正仿宋_GB2312" w:cs="方正仿宋_GB2312"/>
          <w:kern w:val="0"/>
          <w:sz w:val="32"/>
          <w:szCs w:val="32"/>
          <w:u w:val="none" w:color="auto"/>
        </w:rPr>
        <w:t>辆、主要负责人用车</w:t>
      </w:r>
      <w:r>
        <w:rPr>
          <w:rFonts w:hint="eastAsia" w:ascii="方正仿宋_GB2312" w:hAnsi="方正仿宋_GB2312" w:eastAsia="方正仿宋_GB2312" w:cs="方正仿宋_GB2312"/>
          <w:kern w:val="0"/>
          <w:sz w:val="32"/>
          <w:szCs w:val="32"/>
          <w:u w:val="none" w:color="auto"/>
          <w:lang w:eastAsia="en-US"/>
        </w:rPr>
        <w:t xml:space="preserve">0 </w:t>
      </w:r>
      <w:r>
        <w:rPr>
          <w:rFonts w:hint="eastAsia" w:ascii="方正仿宋_GB2312" w:hAnsi="方正仿宋_GB2312" w:eastAsia="方正仿宋_GB2312" w:cs="方正仿宋_GB2312"/>
          <w:kern w:val="0"/>
          <w:sz w:val="32"/>
          <w:szCs w:val="32"/>
          <w:u w:val="none" w:color="auto"/>
        </w:rPr>
        <w:t>辆、机要通信用车</w:t>
      </w:r>
      <w:r>
        <w:rPr>
          <w:rFonts w:hint="eastAsia" w:ascii="方正仿宋_GB2312" w:hAnsi="方正仿宋_GB2312" w:eastAsia="方正仿宋_GB2312" w:cs="方正仿宋_GB2312"/>
          <w:kern w:val="0"/>
          <w:sz w:val="32"/>
          <w:szCs w:val="32"/>
          <w:u w:val="none" w:color="auto"/>
          <w:lang w:eastAsia="en-US"/>
        </w:rPr>
        <w:t xml:space="preserve">0 </w:t>
      </w:r>
      <w:r>
        <w:rPr>
          <w:rFonts w:hint="eastAsia" w:ascii="方正仿宋_GB2312" w:hAnsi="方正仿宋_GB2312" w:eastAsia="方正仿宋_GB2312" w:cs="方正仿宋_GB2312"/>
          <w:kern w:val="0"/>
          <w:sz w:val="32"/>
          <w:szCs w:val="32"/>
          <w:u w:val="none" w:color="auto"/>
        </w:rPr>
        <w:t>辆、应急保障用车</w:t>
      </w:r>
      <w:r>
        <w:rPr>
          <w:rFonts w:hint="eastAsia" w:ascii="方正仿宋_GB2312" w:hAnsi="方正仿宋_GB2312" w:eastAsia="方正仿宋_GB2312" w:cs="方正仿宋_GB2312"/>
          <w:kern w:val="0"/>
          <w:sz w:val="32"/>
          <w:szCs w:val="32"/>
          <w:u w:val="none" w:color="auto"/>
          <w:lang w:eastAsia="en-US"/>
        </w:rPr>
        <w:t xml:space="preserve">0 </w:t>
      </w:r>
      <w:r>
        <w:rPr>
          <w:rFonts w:hint="eastAsia" w:ascii="方正仿宋_GB2312" w:hAnsi="方正仿宋_GB2312" w:eastAsia="方正仿宋_GB2312" w:cs="方正仿宋_GB2312"/>
          <w:kern w:val="0"/>
          <w:sz w:val="32"/>
          <w:szCs w:val="32"/>
          <w:u w:val="none" w:color="auto"/>
        </w:rPr>
        <w:t>辆、执法执勤用车</w:t>
      </w:r>
      <w:r>
        <w:rPr>
          <w:rFonts w:hint="eastAsia" w:ascii="方正仿宋_GB2312" w:hAnsi="方正仿宋_GB2312" w:eastAsia="方正仿宋_GB2312" w:cs="方正仿宋_GB2312"/>
          <w:kern w:val="0"/>
          <w:sz w:val="32"/>
          <w:szCs w:val="32"/>
          <w:u w:val="none" w:color="auto"/>
          <w:lang w:eastAsia="en-US"/>
        </w:rPr>
        <w:t xml:space="preserve">0 </w:t>
      </w:r>
      <w:r>
        <w:rPr>
          <w:rFonts w:hint="eastAsia" w:ascii="方正仿宋_GB2312" w:hAnsi="方正仿宋_GB2312" w:eastAsia="方正仿宋_GB2312" w:cs="方正仿宋_GB2312"/>
          <w:kern w:val="0"/>
          <w:sz w:val="32"/>
          <w:szCs w:val="32"/>
          <w:u w:val="none" w:color="auto"/>
        </w:rPr>
        <w:t>辆、特种专业技术用车</w:t>
      </w:r>
      <w:r>
        <w:rPr>
          <w:rFonts w:hint="eastAsia" w:ascii="方正仿宋_GB2312" w:hAnsi="方正仿宋_GB2312" w:eastAsia="方正仿宋_GB2312" w:cs="方正仿宋_GB2312"/>
          <w:kern w:val="0"/>
          <w:sz w:val="32"/>
          <w:szCs w:val="32"/>
          <w:u w:val="none" w:color="auto"/>
          <w:lang w:eastAsia="en-US"/>
        </w:rPr>
        <w:t xml:space="preserve">0 </w:t>
      </w:r>
      <w:r>
        <w:rPr>
          <w:rFonts w:hint="eastAsia" w:ascii="方正仿宋_GB2312" w:hAnsi="方正仿宋_GB2312" w:eastAsia="方正仿宋_GB2312" w:cs="方正仿宋_GB2312"/>
          <w:kern w:val="0"/>
          <w:sz w:val="32"/>
          <w:szCs w:val="32"/>
          <w:u w:val="none" w:color="auto"/>
        </w:rPr>
        <w:t>辆、离退休干部服务用车</w:t>
      </w:r>
      <w:r>
        <w:rPr>
          <w:rFonts w:hint="eastAsia" w:ascii="方正仿宋_GB2312" w:hAnsi="方正仿宋_GB2312" w:eastAsia="方正仿宋_GB2312" w:cs="方正仿宋_GB2312"/>
          <w:kern w:val="0"/>
          <w:sz w:val="32"/>
          <w:szCs w:val="32"/>
          <w:u w:val="none" w:color="auto"/>
          <w:lang w:eastAsia="en-US"/>
        </w:rPr>
        <w:t xml:space="preserve">0 </w:t>
      </w:r>
      <w:r>
        <w:rPr>
          <w:rFonts w:hint="eastAsia" w:ascii="方正仿宋_GB2312" w:hAnsi="方正仿宋_GB2312" w:eastAsia="方正仿宋_GB2312" w:cs="方正仿宋_GB2312"/>
          <w:kern w:val="0"/>
          <w:sz w:val="32"/>
          <w:szCs w:val="32"/>
          <w:u w:val="none" w:color="auto"/>
        </w:rPr>
        <w:t>辆、其他用车</w:t>
      </w:r>
      <w:r>
        <w:rPr>
          <w:rFonts w:hint="eastAsia" w:ascii="方正仿宋_GB2312" w:hAnsi="方正仿宋_GB2312" w:eastAsia="方正仿宋_GB2312" w:cs="方正仿宋_GB2312"/>
          <w:kern w:val="0"/>
          <w:sz w:val="32"/>
          <w:szCs w:val="32"/>
          <w:u w:val="none" w:color="auto"/>
          <w:lang w:eastAsia="en-US"/>
        </w:rPr>
        <w:t xml:space="preserve">2 </w:t>
      </w:r>
      <w:r>
        <w:rPr>
          <w:rFonts w:hint="eastAsia" w:ascii="方正仿宋_GB2312" w:hAnsi="方正仿宋_GB2312" w:eastAsia="方正仿宋_GB2312" w:cs="方正仿宋_GB2312"/>
          <w:kern w:val="0"/>
          <w:sz w:val="32"/>
          <w:szCs w:val="32"/>
          <w:u w:val="none" w:color="auto"/>
        </w:rPr>
        <w:t>辆；单价</w:t>
      </w:r>
      <w:r>
        <w:rPr>
          <w:rFonts w:hint="eastAsia" w:ascii="方正仿宋_GB2312" w:hAnsi="方正仿宋_GB2312" w:eastAsia="方正仿宋_GB2312" w:cs="方正仿宋_GB2312"/>
          <w:kern w:val="0"/>
          <w:sz w:val="32"/>
          <w:szCs w:val="32"/>
          <w:u w:val="none" w:color="auto"/>
          <w:lang w:eastAsia="en-US"/>
        </w:rPr>
        <w:t>100</w:t>
      </w:r>
      <w:r>
        <w:rPr>
          <w:rFonts w:hint="eastAsia" w:ascii="方正仿宋_GB2312" w:hAnsi="方正仿宋_GB2312" w:eastAsia="方正仿宋_GB2312" w:cs="方正仿宋_GB2312"/>
          <w:kern w:val="0"/>
          <w:sz w:val="32"/>
          <w:szCs w:val="32"/>
          <w:u w:val="none" w:color="auto"/>
        </w:rPr>
        <w:t>万元（含）以上设备（不含车辆）</w:t>
      </w:r>
      <w:r>
        <w:rPr>
          <w:rFonts w:hint="eastAsia" w:ascii="方正仿宋_GB2312" w:hAnsi="方正仿宋_GB2312" w:eastAsia="方正仿宋_GB2312" w:cs="方正仿宋_GB2312"/>
          <w:kern w:val="0"/>
          <w:sz w:val="32"/>
          <w:szCs w:val="32"/>
          <w:u w:val="none" w:color="auto"/>
          <w:lang w:eastAsia="en-US"/>
        </w:rPr>
        <w:t xml:space="preserve">0 </w:t>
      </w:r>
      <w:r>
        <w:rPr>
          <w:rFonts w:hint="eastAsia" w:ascii="方正仿宋_GB2312" w:hAnsi="方正仿宋_GB2312" w:eastAsia="方正仿宋_GB2312" w:cs="方正仿宋_GB2312"/>
          <w:kern w:val="0"/>
          <w:sz w:val="32"/>
          <w:szCs w:val="32"/>
          <w:u w:val="none" w:color="auto"/>
        </w:rPr>
        <w:t>台（套）。</w:t>
      </w:r>
    </w:p>
    <w:p w14:paraId="47A6FBAB">
      <w:pPr>
        <w:pStyle w:val="29"/>
        <w:keepNext w:val="0"/>
        <w:keepLines w:val="0"/>
        <w:pageBreakBefore w:val="0"/>
        <w:widowControl/>
        <w:kinsoku/>
        <w:wordWrap/>
        <w:overflowPunct/>
        <w:topLinePunct w:val="0"/>
        <w:autoSpaceDE/>
        <w:autoSpaceDN/>
        <w:bidi w:val="0"/>
        <w:adjustRightInd/>
        <w:snapToGrid/>
        <w:spacing w:line="560" w:lineRule="exact"/>
        <w:ind w:firstLine="643"/>
        <w:jc w:val="left"/>
        <w:textAlignment w:val="auto"/>
        <w:rPr>
          <w:rFonts w:ascii="Times New Roman" w:hAnsi="Times New Roman" w:eastAsia="Times New Roman" w:cs="Times New Roman"/>
          <w:kern w:val="0"/>
          <w:sz w:val="24"/>
          <w:u w:val="none" w:color="auto"/>
        </w:rPr>
      </w:pPr>
      <w:r>
        <w:rPr>
          <w:rFonts w:ascii="黑体" w:hAnsi="黑体" w:eastAsia="黑体" w:cs="黑体"/>
          <w:b/>
          <w:bCs/>
          <w:kern w:val="0"/>
          <w:sz w:val="32"/>
          <w:szCs w:val="32"/>
          <w:u w:val="none" w:color="auto"/>
        </w:rPr>
        <w:t>十四、预算绩效情况说明</w:t>
      </w:r>
    </w:p>
    <w:p w14:paraId="2D6CCD00">
      <w:pPr>
        <w:pStyle w:val="29"/>
        <w:keepNext w:val="0"/>
        <w:keepLines w:val="0"/>
        <w:pageBreakBefore w:val="0"/>
        <w:widowControl/>
        <w:kinsoku/>
        <w:wordWrap/>
        <w:overflowPunct/>
        <w:topLinePunct w:val="0"/>
        <w:autoSpaceDE/>
        <w:autoSpaceDN/>
        <w:bidi w:val="0"/>
        <w:adjustRightInd/>
        <w:snapToGrid/>
        <w:spacing w:line="560" w:lineRule="exact"/>
        <w:ind w:firstLine="643"/>
        <w:jc w:val="left"/>
        <w:textAlignment w:val="auto"/>
        <w:rPr>
          <w:rFonts w:hint="eastAsia" w:ascii="方正楷体_GB2312" w:hAnsi="方正楷体_GB2312" w:eastAsia="方正楷体_GB2312" w:cs="方正楷体_GB2312"/>
          <w:b w:val="0"/>
          <w:bCs w:val="0"/>
          <w:color w:val="auto"/>
          <w:kern w:val="0"/>
          <w:sz w:val="32"/>
          <w:szCs w:val="32"/>
          <w:u w:val="none" w:color="auto"/>
          <w:lang w:val="en-US" w:eastAsia="zh-CN" w:bidi="ar-SA"/>
        </w:rPr>
      </w:pPr>
      <w:r>
        <w:rPr>
          <w:rFonts w:hint="eastAsia" w:ascii="方正楷体_GB2312" w:hAnsi="方正楷体_GB2312" w:eastAsia="方正楷体_GB2312" w:cs="方正楷体_GB2312"/>
          <w:b w:val="0"/>
          <w:bCs w:val="0"/>
          <w:color w:val="auto"/>
          <w:kern w:val="0"/>
          <w:sz w:val="32"/>
          <w:szCs w:val="32"/>
          <w:u w:val="none" w:color="auto"/>
          <w:lang w:val="en-US" w:eastAsia="zh-CN" w:bidi="ar-SA"/>
        </w:rPr>
        <w:t>（一）预算绩效管理工作开展情况。</w:t>
      </w:r>
    </w:p>
    <w:p w14:paraId="6FB1CFBE">
      <w:pPr>
        <w:keepNext w:val="0"/>
        <w:keepLines w:val="0"/>
        <w:pageBreakBefore w:val="0"/>
        <w:kinsoku/>
        <w:wordWrap/>
        <w:overflowPunct/>
        <w:topLinePunct w:val="0"/>
        <w:autoSpaceDE/>
        <w:autoSpaceDN/>
        <w:bidi w:val="0"/>
        <w:adjustRightInd/>
        <w:snapToGrid/>
        <w:spacing w:line="560" w:lineRule="exact"/>
        <w:ind w:firstLine="640"/>
        <w:jc w:val="both"/>
        <w:textAlignment w:val="auto"/>
        <w:rPr>
          <w:rFonts w:hint="eastAsia" w:ascii="方正仿宋_GB2312" w:hAnsi="方正仿宋_GB2312" w:eastAsia="方正仿宋_GB2312" w:cs="方正仿宋_GB2312"/>
          <w:kern w:val="0"/>
          <w:sz w:val="32"/>
          <w:szCs w:val="32"/>
          <w:u w:val="none" w:color="auto"/>
          <w:lang w:val="en-US" w:eastAsia="zh-CN" w:bidi="ar-SA"/>
        </w:rPr>
      </w:pPr>
      <w:r>
        <w:rPr>
          <w:rFonts w:hint="eastAsia" w:ascii="方正仿宋_GB2312" w:hAnsi="方正仿宋_GB2312" w:eastAsia="方正仿宋_GB2312" w:cs="方正仿宋_GB2312"/>
          <w:kern w:val="0"/>
          <w:sz w:val="32"/>
          <w:szCs w:val="32"/>
          <w:u w:val="none" w:color="auto"/>
          <w:lang w:val="en-US" w:eastAsia="zh-CN" w:bidi="ar-SA"/>
        </w:rPr>
        <w:t>内蒙古自治区巴彦淖尔市卫生健康委员会（本级）根据预算绩效管理要求组织对</w:t>
      </w:r>
      <w:r>
        <w:rPr>
          <w:rFonts w:hint="eastAsia" w:ascii="方正仿宋_GB2312" w:hAnsi="方正仿宋_GB2312" w:eastAsia="方正仿宋_GB2312" w:cs="方正仿宋_GB2312"/>
          <w:kern w:val="0"/>
          <w:sz w:val="32"/>
          <w:szCs w:val="32"/>
          <w:u w:val="none" w:color="auto"/>
          <w:lang w:val="en-US" w:eastAsia="en-US" w:bidi="ar-SA"/>
        </w:rPr>
        <w:t>2025</w:t>
      </w:r>
      <w:r>
        <w:rPr>
          <w:rFonts w:hint="eastAsia" w:ascii="方正仿宋_GB2312" w:hAnsi="方正仿宋_GB2312" w:eastAsia="方正仿宋_GB2312" w:cs="方正仿宋_GB2312"/>
          <w:kern w:val="0"/>
          <w:sz w:val="32"/>
          <w:szCs w:val="32"/>
          <w:u w:val="none" w:color="auto"/>
          <w:lang w:val="en-US" w:eastAsia="zh-CN" w:bidi="ar-SA"/>
        </w:rPr>
        <w:t>年一般公共预算项目支出全面开展绩效自评，共涉及项目23个，资金</w:t>
      </w:r>
      <w:r>
        <w:rPr>
          <w:rFonts w:hint="eastAsia" w:ascii="方正仿宋_GB2312" w:hAnsi="方正仿宋_GB2312" w:eastAsia="方正仿宋_GB2312" w:cs="方正仿宋_GB2312"/>
          <w:kern w:val="0"/>
          <w:sz w:val="32"/>
          <w:szCs w:val="32"/>
          <w:u w:val="none" w:color="auto"/>
          <w:lang w:val="en-US" w:eastAsia="en-US" w:bidi="ar-SA"/>
        </w:rPr>
        <w:t xml:space="preserve"> 546.33</w:t>
      </w:r>
      <w:r>
        <w:rPr>
          <w:rFonts w:hint="eastAsia" w:ascii="方正仿宋_GB2312" w:hAnsi="方正仿宋_GB2312" w:eastAsia="方正仿宋_GB2312" w:cs="方正仿宋_GB2312"/>
          <w:kern w:val="0"/>
          <w:sz w:val="32"/>
          <w:szCs w:val="32"/>
          <w:u w:val="none" w:color="auto"/>
          <w:lang w:val="en-US" w:eastAsia="zh-CN" w:bidi="ar-SA"/>
        </w:rPr>
        <w:t>万元，占一般公共预算项目支出总额的</w:t>
      </w:r>
      <w:r>
        <w:rPr>
          <w:rFonts w:hint="eastAsia" w:ascii="方正仿宋_GB2312" w:hAnsi="方正仿宋_GB2312" w:eastAsia="方正仿宋_GB2312" w:cs="方正仿宋_GB2312"/>
          <w:kern w:val="0"/>
          <w:sz w:val="32"/>
          <w:szCs w:val="32"/>
          <w:u w:val="none" w:color="auto"/>
          <w:lang w:val="en-US" w:eastAsia="en-US" w:bidi="ar-SA"/>
        </w:rPr>
        <w:t>100%</w:t>
      </w:r>
      <w:r>
        <w:rPr>
          <w:rFonts w:hint="eastAsia" w:ascii="方正仿宋_GB2312" w:hAnsi="方正仿宋_GB2312" w:eastAsia="方正仿宋_GB2312" w:cs="方正仿宋_GB2312"/>
          <w:kern w:val="0"/>
          <w:sz w:val="32"/>
          <w:szCs w:val="32"/>
          <w:u w:val="none" w:color="auto"/>
          <w:lang w:val="en-US" w:eastAsia="zh-CN" w:bidi="ar-SA"/>
        </w:rPr>
        <w:t>；政府性基金预算项目0个，共涉及资金0万元。</w:t>
      </w:r>
    </w:p>
    <w:p w14:paraId="4330961B">
      <w:pPr>
        <w:keepNext w:val="0"/>
        <w:keepLines w:val="0"/>
        <w:pageBreakBefore w:val="0"/>
        <w:kinsoku/>
        <w:wordWrap/>
        <w:overflowPunct/>
        <w:topLinePunct w:val="0"/>
        <w:autoSpaceDE/>
        <w:autoSpaceDN/>
        <w:bidi w:val="0"/>
        <w:adjustRightInd/>
        <w:snapToGrid/>
        <w:spacing w:line="560" w:lineRule="exact"/>
        <w:ind w:firstLine="640"/>
        <w:jc w:val="both"/>
        <w:textAlignment w:val="auto"/>
        <w:rPr>
          <w:rFonts w:hint="eastAsia" w:ascii="方正仿宋_GB2312" w:hAnsi="方正仿宋_GB2312" w:eastAsia="方正仿宋_GB2312" w:cs="方正仿宋_GB2312"/>
          <w:kern w:val="0"/>
          <w:sz w:val="32"/>
          <w:szCs w:val="32"/>
          <w:u w:val="none" w:color="auto"/>
          <w:lang w:val="en-US" w:eastAsia="zh-CN" w:bidi="ar-SA"/>
        </w:rPr>
      </w:pPr>
      <w:r>
        <w:rPr>
          <w:rFonts w:hint="eastAsia" w:ascii="方正仿宋_GB2312" w:hAnsi="方正仿宋_GB2312" w:eastAsia="方正仿宋_GB2312" w:cs="方正仿宋_GB2312"/>
          <w:kern w:val="0"/>
          <w:sz w:val="32"/>
          <w:szCs w:val="32"/>
          <w:u w:val="none" w:color="auto"/>
          <w:lang w:val="en-US" w:eastAsia="zh-CN" w:bidi="ar-SA"/>
        </w:rPr>
        <w:t>组织对组织对“卫生健康事业费项目”、“卫生专业技术考试经费项目”、“市保健委经费项目”等23个项目开展了部门评价，涉及一般公共预算支出546.33万元。从评价情况看，以上项目绩效指标设定分为产出指标、效益指标和满意度指标三类，产出指标主要包括数量指标、质量指标、时效指标、成本指标；效益指标主要包括经济效益指标、社会效益指标和可持续影响指标；满意度指标主要包括服务对象满意度指标。其中产出指标50分，效益指标30分，满意度指标10分，执行率10分，共计100分。</w:t>
      </w:r>
    </w:p>
    <w:p w14:paraId="7909ADD4">
      <w:pPr>
        <w:pStyle w:val="29"/>
        <w:keepNext w:val="0"/>
        <w:keepLines w:val="0"/>
        <w:pageBreakBefore w:val="0"/>
        <w:widowControl/>
        <w:kinsoku/>
        <w:wordWrap/>
        <w:overflowPunct/>
        <w:topLinePunct w:val="0"/>
        <w:autoSpaceDE/>
        <w:autoSpaceDN/>
        <w:bidi w:val="0"/>
        <w:adjustRightInd/>
        <w:snapToGrid/>
        <w:spacing w:line="560" w:lineRule="exact"/>
        <w:ind w:firstLine="643"/>
        <w:jc w:val="left"/>
        <w:textAlignment w:val="auto"/>
        <w:rPr>
          <w:rFonts w:hint="eastAsia" w:ascii="方正楷体_GB2312" w:hAnsi="方正楷体_GB2312" w:eastAsia="方正楷体_GB2312" w:cs="方正楷体_GB2312"/>
          <w:b w:val="0"/>
          <w:bCs w:val="0"/>
          <w:color w:val="auto"/>
          <w:kern w:val="0"/>
          <w:sz w:val="32"/>
          <w:szCs w:val="32"/>
          <w:u w:val="none" w:color="auto"/>
          <w:lang w:val="en-US" w:eastAsia="zh-CN" w:bidi="ar-SA"/>
        </w:rPr>
      </w:pPr>
      <w:r>
        <w:rPr>
          <w:rFonts w:hint="eastAsia" w:ascii="方正楷体_GB2312" w:hAnsi="方正楷体_GB2312" w:eastAsia="方正楷体_GB2312" w:cs="方正楷体_GB2312"/>
          <w:b w:val="0"/>
          <w:bCs w:val="0"/>
          <w:color w:val="auto"/>
          <w:kern w:val="0"/>
          <w:sz w:val="32"/>
          <w:szCs w:val="32"/>
          <w:u w:val="none" w:color="auto"/>
          <w:lang w:val="en-US" w:eastAsia="zh-CN" w:bidi="ar-SA"/>
        </w:rPr>
        <w:t>（二）单位决算中项目绩效自评结果。</w:t>
      </w:r>
    </w:p>
    <w:p w14:paraId="382522CF">
      <w:pPr>
        <w:keepNext w:val="0"/>
        <w:keepLines w:val="0"/>
        <w:pageBreakBefore w:val="0"/>
        <w:kinsoku/>
        <w:wordWrap/>
        <w:overflowPunct/>
        <w:topLinePunct w:val="0"/>
        <w:autoSpaceDE/>
        <w:autoSpaceDN/>
        <w:bidi w:val="0"/>
        <w:adjustRightInd/>
        <w:snapToGrid/>
        <w:spacing w:line="560" w:lineRule="exact"/>
        <w:ind w:firstLine="640"/>
        <w:jc w:val="both"/>
        <w:textAlignment w:val="auto"/>
        <w:rPr>
          <w:rFonts w:hint="eastAsia" w:ascii="方正仿宋_GB2312" w:hAnsi="方正仿宋_GB2312" w:eastAsia="方正仿宋_GB2312" w:cs="方正仿宋_GB2312"/>
          <w:kern w:val="0"/>
          <w:sz w:val="32"/>
          <w:szCs w:val="32"/>
          <w:u w:val="none" w:color="auto"/>
          <w:lang w:val="en-US" w:eastAsia="zh-CN" w:bidi="ar-SA"/>
        </w:rPr>
      </w:pPr>
      <w:r>
        <w:rPr>
          <w:rFonts w:hint="eastAsia" w:ascii="方正仿宋_GB2312" w:hAnsi="方正仿宋_GB2312" w:eastAsia="方正仿宋_GB2312" w:cs="方正仿宋_GB2312"/>
          <w:kern w:val="0"/>
          <w:sz w:val="32"/>
          <w:szCs w:val="32"/>
          <w:u w:val="none" w:color="auto"/>
          <w:lang w:val="en-US" w:eastAsia="zh-CN" w:bidi="ar-SA"/>
        </w:rPr>
        <w:t>内蒙古自治区巴彦淖尔市卫生健康委员会（本级）</w:t>
      </w:r>
      <w:r>
        <w:rPr>
          <w:rFonts w:hint="eastAsia" w:ascii="方正仿宋_GB2312" w:hAnsi="方正仿宋_GB2312" w:eastAsia="方正仿宋_GB2312" w:cs="方正仿宋_GB2312"/>
          <w:kern w:val="0"/>
          <w:sz w:val="32"/>
          <w:szCs w:val="32"/>
          <w:u w:val="none" w:color="auto"/>
          <w:lang w:val="en-US" w:eastAsia="en-US" w:bidi="ar-SA"/>
        </w:rPr>
        <w:t>2025</w:t>
      </w:r>
      <w:r>
        <w:rPr>
          <w:rFonts w:hint="eastAsia" w:ascii="方正仿宋_GB2312" w:hAnsi="方正仿宋_GB2312" w:eastAsia="方正仿宋_GB2312" w:cs="方正仿宋_GB2312"/>
          <w:kern w:val="0"/>
          <w:sz w:val="32"/>
          <w:szCs w:val="32"/>
          <w:u w:val="none" w:color="auto"/>
          <w:lang w:val="en-US" w:eastAsia="zh-CN" w:bidi="ar-SA"/>
        </w:rPr>
        <w:t>年度在决算中反映5个一般公共预算项目的绩效自评结果。</w:t>
      </w:r>
    </w:p>
    <w:p w14:paraId="1EE18EEA">
      <w:pPr>
        <w:keepNext w:val="0"/>
        <w:keepLines w:val="0"/>
        <w:pageBreakBefore w:val="0"/>
        <w:kinsoku/>
        <w:wordWrap/>
        <w:overflowPunct/>
        <w:topLinePunct w:val="0"/>
        <w:autoSpaceDE/>
        <w:autoSpaceDN/>
        <w:bidi w:val="0"/>
        <w:adjustRightInd/>
        <w:snapToGrid/>
        <w:spacing w:line="560" w:lineRule="exact"/>
        <w:ind w:firstLine="640"/>
        <w:jc w:val="both"/>
        <w:textAlignment w:val="auto"/>
        <w:rPr>
          <w:rFonts w:hint="eastAsia" w:ascii="方正仿宋_GB2312" w:hAnsi="方正仿宋_GB2312" w:eastAsia="方正仿宋_GB2312" w:cs="方正仿宋_GB2312"/>
          <w:kern w:val="0"/>
          <w:sz w:val="32"/>
          <w:szCs w:val="32"/>
          <w:u w:val="none" w:color="auto"/>
          <w:lang w:val="en-US" w:eastAsia="zh-CN" w:bidi="ar-SA"/>
        </w:rPr>
      </w:pPr>
      <w:r>
        <w:rPr>
          <w:rFonts w:hint="eastAsia" w:ascii="方正仿宋_GB2312" w:hAnsi="方正仿宋_GB2312" w:eastAsia="方正仿宋_GB2312" w:cs="方正仿宋_GB2312"/>
          <w:kern w:val="0"/>
          <w:sz w:val="32"/>
          <w:szCs w:val="32"/>
          <w:u w:val="none" w:color="auto"/>
          <w:lang w:val="en-US" w:eastAsia="zh-CN" w:bidi="ar-SA"/>
        </w:rPr>
        <w:t>1.市保健委经费项目自评综述：根据年初设定的绩效目标，项目自评得分100分。全年预算数为64.59万元，执行数为64.59万元，完成预算的100</w:t>
      </w:r>
      <w:r>
        <w:rPr>
          <w:rFonts w:hint="eastAsia" w:ascii="方正仿宋_GB2312" w:hAnsi="方正仿宋_GB2312" w:eastAsia="方正仿宋_GB2312" w:cs="方正仿宋_GB2312"/>
          <w:kern w:val="0"/>
          <w:sz w:val="32"/>
          <w:szCs w:val="32"/>
          <w:u w:val="none" w:color="auto"/>
          <w:lang w:val="en-US" w:eastAsia="en-US" w:bidi="ar-SA"/>
        </w:rPr>
        <w:t>%</w:t>
      </w:r>
      <w:r>
        <w:rPr>
          <w:rFonts w:hint="eastAsia" w:ascii="方正仿宋_GB2312" w:hAnsi="方正仿宋_GB2312" w:eastAsia="方正仿宋_GB2312" w:cs="方正仿宋_GB2312"/>
          <w:kern w:val="0"/>
          <w:sz w:val="32"/>
          <w:szCs w:val="32"/>
          <w:u w:val="none" w:color="auto"/>
          <w:lang w:val="en-US" w:eastAsia="zh-CN" w:bidi="ar-SA"/>
        </w:rPr>
        <w:t>。项目绩效目标完成情况：245名保健干部完成健康体检，联系厅级保健干部市外就诊，为厅级保健干部配备保健药品，圆满完成重大活动、重要会议、重要来宾医疗保障工作。</w:t>
      </w:r>
    </w:p>
    <w:p w14:paraId="34D80417">
      <w:pPr>
        <w:keepNext w:val="0"/>
        <w:keepLines w:val="0"/>
        <w:pageBreakBefore w:val="0"/>
        <w:kinsoku/>
        <w:wordWrap/>
        <w:overflowPunct/>
        <w:topLinePunct w:val="0"/>
        <w:autoSpaceDE/>
        <w:autoSpaceDN/>
        <w:bidi w:val="0"/>
        <w:adjustRightInd/>
        <w:snapToGrid/>
        <w:spacing w:line="560" w:lineRule="exact"/>
        <w:ind w:firstLine="640"/>
        <w:jc w:val="both"/>
        <w:textAlignment w:val="auto"/>
        <w:rPr>
          <w:rFonts w:hint="eastAsia" w:ascii="方正仿宋_GB2312" w:hAnsi="方正仿宋_GB2312" w:eastAsia="方正仿宋_GB2312" w:cs="方正仿宋_GB2312"/>
          <w:kern w:val="0"/>
          <w:sz w:val="32"/>
          <w:szCs w:val="32"/>
          <w:u w:val="none" w:color="auto"/>
          <w:lang w:val="en-US" w:eastAsia="zh-CN" w:bidi="ar-SA"/>
        </w:rPr>
      </w:pPr>
      <w:r>
        <w:rPr>
          <w:rFonts w:hint="eastAsia" w:ascii="方正仿宋_GB2312" w:hAnsi="方正仿宋_GB2312" w:eastAsia="方正仿宋_GB2312" w:cs="方正仿宋_GB2312"/>
          <w:kern w:val="0"/>
          <w:sz w:val="32"/>
          <w:szCs w:val="32"/>
          <w:u w:val="none" w:color="auto"/>
          <w:lang w:val="en-US" w:eastAsia="en-US" w:bidi="ar-SA"/>
        </w:rPr>
        <w:t>2.</w:t>
      </w:r>
      <w:r>
        <w:rPr>
          <w:rFonts w:hint="eastAsia" w:ascii="方正仿宋_GB2312" w:hAnsi="方正仿宋_GB2312" w:eastAsia="方正仿宋_GB2312" w:cs="方正仿宋_GB2312"/>
          <w:kern w:val="0"/>
          <w:sz w:val="32"/>
          <w:szCs w:val="32"/>
          <w:u w:val="none" w:color="auto"/>
          <w:lang w:val="en-US" w:eastAsia="zh-CN" w:bidi="ar-SA"/>
        </w:rPr>
        <w:t>卫生健康事业费项目自评综述：根据年初设定的绩效目标，项目自评得分100分。全年预算数为54.97万元，执行数为54.97万元，完成预算的100%。项目绩效目标完成情况：开展生育全程医疗保健服务，全面落实计划生育奖励、特别扶助等政策实施。卫生计生政策宣传签约主流媒体数2个，计划生育特别扶助家庭护理险享受人数847人，计划生育特殊家庭护理险覆盖率100%，服务人群满意度满意度95%。</w:t>
      </w:r>
    </w:p>
    <w:p w14:paraId="16C30185">
      <w:pPr>
        <w:keepNext w:val="0"/>
        <w:keepLines w:val="0"/>
        <w:pageBreakBefore w:val="0"/>
        <w:kinsoku/>
        <w:wordWrap/>
        <w:overflowPunct/>
        <w:topLinePunct w:val="0"/>
        <w:autoSpaceDE/>
        <w:autoSpaceDN/>
        <w:bidi w:val="0"/>
        <w:adjustRightInd/>
        <w:snapToGrid/>
        <w:spacing w:line="560" w:lineRule="exact"/>
        <w:ind w:firstLine="640"/>
        <w:jc w:val="both"/>
        <w:textAlignment w:val="auto"/>
        <w:rPr>
          <w:rFonts w:hint="eastAsia" w:ascii="方正仿宋_GB2312" w:hAnsi="方正仿宋_GB2312" w:eastAsia="方正仿宋_GB2312" w:cs="方正仿宋_GB2312"/>
          <w:kern w:val="0"/>
          <w:sz w:val="32"/>
          <w:szCs w:val="32"/>
          <w:u w:val="none" w:color="auto"/>
          <w:lang w:val="en-US" w:eastAsia="zh-CN" w:bidi="ar-SA"/>
        </w:rPr>
      </w:pPr>
      <w:r>
        <w:rPr>
          <w:rFonts w:hint="eastAsia" w:ascii="方正仿宋_GB2312" w:hAnsi="方正仿宋_GB2312" w:eastAsia="方正仿宋_GB2312" w:cs="方正仿宋_GB2312"/>
          <w:kern w:val="0"/>
          <w:sz w:val="32"/>
          <w:szCs w:val="32"/>
          <w:u w:val="none" w:color="auto"/>
          <w:lang w:val="en-US" w:eastAsia="zh-CN" w:bidi="ar-SA"/>
        </w:rPr>
        <w:t>发现的主要问题及原因：计划生育及卫生健康政策宣传仍需要加强。下一步改进措施：加大计划生育及卫生健康政策宣传力度。</w:t>
      </w:r>
    </w:p>
    <w:p w14:paraId="2C7C69BB">
      <w:pPr>
        <w:keepNext w:val="0"/>
        <w:keepLines w:val="0"/>
        <w:pageBreakBefore w:val="0"/>
        <w:kinsoku/>
        <w:wordWrap/>
        <w:overflowPunct/>
        <w:topLinePunct w:val="0"/>
        <w:autoSpaceDE/>
        <w:autoSpaceDN/>
        <w:bidi w:val="0"/>
        <w:adjustRightInd/>
        <w:snapToGrid/>
        <w:spacing w:line="560" w:lineRule="exact"/>
        <w:ind w:firstLine="640"/>
        <w:jc w:val="both"/>
        <w:textAlignment w:val="auto"/>
        <w:rPr>
          <w:rFonts w:hint="eastAsia" w:ascii="方正仿宋_GB2312" w:hAnsi="方正仿宋_GB2312" w:eastAsia="方正仿宋_GB2312" w:cs="方正仿宋_GB2312"/>
          <w:kern w:val="0"/>
          <w:sz w:val="32"/>
          <w:szCs w:val="32"/>
          <w:u w:val="none" w:color="auto"/>
          <w:lang w:val="en-US" w:eastAsia="zh-CN" w:bidi="ar-SA"/>
        </w:rPr>
      </w:pPr>
      <w:r>
        <w:rPr>
          <w:rFonts w:hint="eastAsia" w:ascii="方正仿宋_GB2312" w:hAnsi="方正仿宋_GB2312" w:eastAsia="方正仿宋_GB2312" w:cs="方正仿宋_GB2312"/>
          <w:kern w:val="0"/>
          <w:sz w:val="32"/>
          <w:szCs w:val="32"/>
          <w:u w:val="none" w:color="auto"/>
          <w:lang w:val="en-US" w:eastAsia="zh-CN" w:bidi="ar-SA"/>
        </w:rPr>
        <w:t>3.卫生专业技术考试经费项目自评综述：根据年初设定的绩效目标，项目自评得分99.68分。全年预算数为40.75万元，执行数为35.44万元，完成预算的96.79%。项目绩效目标完成情况：顺利组织完成2025年医师资格考试、卫生专业技术考试工作任务。考试人员满意度95%。</w:t>
      </w:r>
    </w:p>
    <w:p w14:paraId="3B3DD4E6">
      <w:pPr>
        <w:keepNext w:val="0"/>
        <w:keepLines w:val="0"/>
        <w:pageBreakBefore w:val="0"/>
        <w:kinsoku/>
        <w:wordWrap/>
        <w:overflowPunct/>
        <w:topLinePunct w:val="0"/>
        <w:autoSpaceDE/>
        <w:autoSpaceDN/>
        <w:bidi w:val="0"/>
        <w:adjustRightInd/>
        <w:snapToGrid/>
        <w:spacing w:line="560" w:lineRule="exact"/>
        <w:ind w:firstLine="640"/>
        <w:jc w:val="both"/>
        <w:textAlignment w:val="auto"/>
        <w:rPr>
          <w:rFonts w:hint="eastAsia" w:ascii="方正仿宋_GB2312" w:hAnsi="方正仿宋_GB2312" w:eastAsia="方正仿宋_GB2312" w:cs="方正仿宋_GB2312"/>
          <w:kern w:val="0"/>
          <w:sz w:val="32"/>
          <w:szCs w:val="32"/>
          <w:u w:val="none" w:color="auto"/>
          <w:lang w:val="en-US" w:eastAsia="zh-CN" w:bidi="ar-SA"/>
        </w:rPr>
      </w:pPr>
      <w:r>
        <w:rPr>
          <w:rFonts w:hint="eastAsia" w:ascii="方正仿宋_GB2312" w:hAnsi="方正仿宋_GB2312" w:eastAsia="方正仿宋_GB2312" w:cs="方正仿宋_GB2312"/>
          <w:kern w:val="0"/>
          <w:sz w:val="32"/>
          <w:szCs w:val="32"/>
          <w:u w:val="none" w:color="auto"/>
          <w:lang w:val="en-US" w:eastAsia="zh-CN" w:bidi="ar-SA"/>
        </w:rPr>
        <w:t>发现的主要问题及原因：项目资金管理有待继续完善改进。下一步改进措施：加强对项目资金的管理及使用。</w:t>
      </w:r>
    </w:p>
    <w:p w14:paraId="2F3ED93A">
      <w:pPr>
        <w:keepNext w:val="0"/>
        <w:keepLines w:val="0"/>
        <w:pageBreakBefore w:val="0"/>
        <w:kinsoku/>
        <w:wordWrap/>
        <w:overflowPunct/>
        <w:topLinePunct w:val="0"/>
        <w:autoSpaceDE/>
        <w:autoSpaceDN/>
        <w:bidi w:val="0"/>
        <w:adjustRightInd/>
        <w:snapToGrid/>
        <w:spacing w:line="560" w:lineRule="exact"/>
        <w:ind w:firstLine="640"/>
        <w:jc w:val="both"/>
        <w:textAlignment w:val="auto"/>
        <w:rPr>
          <w:rFonts w:hint="eastAsia" w:ascii="方正仿宋_GB2312" w:hAnsi="方正仿宋_GB2312" w:eastAsia="方正仿宋_GB2312" w:cs="方正仿宋_GB2312"/>
          <w:kern w:val="0"/>
          <w:sz w:val="32"/>
          <w:szCs w:val="32"/>
          <w:u w:val="none" w:color="auto"/>
          <w:lang w:val="en-US" w:eastAsia="zh-CN" w:bidi="ar-SA"/>
        </w:rPr>
      </w:pPr>
      <w:r>
        <w:rPr>
          <w:rFonts w:hint="eastAsia" w:ascii="方正仿宋_GB2312" w:hAnsi="方正仿宋_GB2312" w:eastAsia="方正仿宋_GB2312" w:cs="方正仿宋_GB2312"/>
          <w:kern w:val="0"/>
          <w:sz w:val="32"/>
          <w:szCs w:val="32"/>
          <w:u w:val="none" w:color="auto"/>
          <w:lang w:val="en-US" w:eastAsia="zh-CN" w:bidi="ar-SA"/>
        </w:rPr>
        <w:t>4.信息系统建设维护项目自评综述：根据年初设定的绩效目标，项目自评得分100分。全年预算数为76.4万元，执行数为76.4万元，完成预算的100%。项目绩效目标完成情况：成立了本地化服务人员团队，提供长期系统运维与技术培训，保障了全市人口健康信息平台等各应用系统正常运行。群众满意度95%。</w:t>
      </w:r>
    </w:p>
    <w:p w14:paraId="28CD8A7A">
      <w:pPr>
        <w:keepNext w:val="0"/>
        <w:keepLines w:val="0"/>
        <w:pageBreakBefore w:val="0"/>
        <w:kinsoku/>
        <w:wordWrap/>
        <w:overflowPunct/>
        <w:topLinePunct w:val="0"/>
        <w:autoSpaceDE/>
        <w:autoSpaceDN/>
        <w:bidi w:val="0"/>
        <w:adjustRightInd/>
        <w:snapToGrid/>
        <w:spacing w:line="560" w:lineRule="exact"/>
        <w:ind w:firstLine="640"/>
        <w:jc w:val="both"/>
        <w:textAlignment w:val="auto"/>
        <w:rPr>
          <w:rFonts w:hint="eastAsia" w:ascii="方正仿宋_GB2312" w:hAnsi="方正仿宋_GB2312" w:eastAsia="方正仿宋_GB2312" w:cs="方正仿宋_GB2312"/>
          <w:kern w:val="0"/>
          <w:sz w:val="32"/>
          <w:szCs w:val="32"/>
          <w:u w:val="none" w:color="auto"/>
          <w:lang w:val="en-US" w:eastAsia="zh-CN" w:bidi="ar-SA"/>
        </w:rPr>
      </w:pPr>
      <w:r>
        <w:rPr>
          <w:rFonts w:hint="eastAsia" w:ascii="方正仿宋_GB2312" w:hAnsi="方正仿宋_GB2312" w:eastAsia="方正仿宋_GB2312" w:cs="方正仿宋_GB2312"/>
          <w:kern w:val="0"/>
          <w:sz w:val="32"/>
          <w:szCs w:val="32"/>
          <w:u w:val="none" w:color="auto"/>
          <w:lang w:val="en-US" w:eastAsia="zh-CN" w:bidi="ar-SA"/>
        </w:rPr>
        <w:t>5.新型婚育文化建设试点项目自评综述：根据年初设定的绩效目标，项目自评得分99.9分。全年预算数为15万元，执行数为14.85万元，完成预算的99%。项目绩效目标完成情况：新型婚育文化阵地建设7个，进一步提升计生协组织覆盖面和社会影响力，引导群众正确认识国情国策树立新型婚育文化观念，持续提升新型婚育文化的覆盖面和影响力，育龄群众满意率65%。</w:t>
      </w:r>
    </w:p>
    <w:p w14:paraId="2753F6BB">
      <w:pPr>
        <w:keepNext w:val="0"/>
        <w:keepLines w:val="0"/>
        <w:pageBreakBefore w:val="0"/>
        <w:kinsoku/>
        <w:wordWrap/>
        <w:overflowPunct/>
        <w:topLinePunct w:val="0"/>
        <w:autoSpaceDE/>
        <w:autoSpaceDN/>
        <w:bidi w:val="0"/>
        <w:adjustRightInd/>
        <w:snapToGrid/>
        <w:spacing w:line="560" w:lineRule="exact"/>
        <w:ind w:firstLine="640"/>
        <w:jc w:val="both"/>
        <w:textAlignment w:val="auto"/>
        <w:rPr>
          <w:rFonts w:hint="eastAsia" w:ascii="方正仿宋_GB2312" w:hAnsi="方正仿宋_GB2312" w:eastAsia="方正仿宋_GB2312" w:cs="方正仿宋_GB2312"/>
          <w:kern w:val="0"/>
          <w:sz w:val="32"/>
          <w:szCs w:val="32"/>
          <w:u w:val="none" w:color="auto"/>
          <w:lang w:val="en-US" w:eastAsia="zh-CN" w:bidi="ar-SA"/>
        </w:rPr>
      </w:pPr>
      <w:r>
        <w:rPr>
          <w:rFonts w:hint="eastAsia" w:ascii="方正仿宋_GB2312" w:hAnsi="方正仿宋_GB2312" w:eastAsia="方正仿宋_GB2312" w:cs="方正仿宋_GB2312"/>
          <w:kern w:val="0"/>
          <w:sz w:val="32"/>
          <w:szCs w:val="32"/>
          <w:u w:val="none" w:color="auto"/>
          <w:lang w:val="en-US" w:eastAsia="zh-CN" w:bidi="ar-SA"/>
        </w:rPr>
        <w:t xml:space="preserve">    发现的主要问题及原因：项目资金管理有待继续完善改进。下一步改进措施：加强对新型婚育文化试点项目的进一步宣传，追求方式多样化。</w:t>
      </w:r>
    </w:p>
    <w:tbl>
      <w:tblPr>
        <w:tblStyle w:val="19"/>
        <w:tblW w:w="6379" w:type="pct"/>
        <w:tblInd w:w="-118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36"/>
        <w:gridCol w:w="457"/>
        <w:gridCol w:w="757"/>
        <w:gridCol w:w="757"/>
        <w:gridCol w:w="757"/>
        <w:gridCol w:w="765"/>
        <w:gridCol w:w="765"/>
        <w:gridCol w:w="757"/>
        <w:gridCol w:w="774"/>
        <w:gridCol w:w="757"/>
        <w:gridCol w:w="761"/>
        <w:gridCol w:w="1929"/>
      </w:tblGrid>
      <w:tr w14:paraId="6D3DD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1F9C8521">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color="auto"/>
              </w:rPr>
            </w:pPr>
            <w:r>
              <w:rPr>
                <w:rFonts w:hint="eastAsia" w:ascii="宋体" w:hAnsi="宋体" w:eastAsia="宋体" w:cs="宋体"/>
                <w:b/>
                <w:bCs/>
                <w:i w:val="0"/>
                <w:iCs w:val="0"/>
                <w:color w:val="000000"/>
                <w:kern w:val="0"/>
                <w:sz w:val="40"/>
                <w:szCs w:val="40"/>
                <w:u w:val="none" w:color="auto"/>
                <w:lang w:val="en-US" w:eastAsia="zh-CN" w:bidi="ar"/>
              </w:rPr>
              <w:t>项目支出绩效自评表</w:t>
            </w:r>
            <w:r>
              <w:rPr>
                <w:rFonts w:hint="eastAsia" w:ascii="宋体" w:hAnsi="宋体" w:eastAsia="宋体" w:cs="宋体"/>
                <w:b/>
                <w:bCs/>
                <w:i w:val="0"/>
                <w:iCs w:val="0"/>
                <w:color w:val="000000"/>
                <w:kern w:val="0"/>
                <w:sz w:val="40"/>
                <w:szCs w:val="40"/>
                <w:u w:val="none" w:color="auto"/>
                <w:lang w:val="en-US" w:eastAsia="zh-CN" w:bidi="ar"/>
              </w:rPr>
              <w:br w:type="textWrapping"/>
            </w:r>
            <w:r>
              <w:rPr>
                <w:rFonts w:hint="eastAsia" w:ascii="宋体" w:hAnsi="宋体" w:eastAsia="宋体" w:cs="宋体"/>
                <w:b/>
                <w:bCs/>
                <w:i w:val="0"/>
                <w:iCs w:val="0"/>
                <w:color w:val="000000"/>
                <w:kern w:val="0"/>
                <w:sz w:val="40"/>
                <w:szCs w:val="40"/>
                <w:u w:val="none" w:color="auto"/>
                <w:lang w:val="en-US" w:eastAsia="zh-CN" w:bidi="ar"/>
              </w:rPr>
              <w:t>(2025年度）</w:t>
            </w:r>
          </w:p>
        </w:tc>
      </w:tr>
      <w:tr w14:paraId="232C7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D1990F">
            <w:pPr>
              <w:keepNext w:val="0"/>
              <w:keepLines w:val="0"/>
              <w:widowControl/>
              <w:suppressLineNumbers w:val="0"/>
              <w:jc w:val="righ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项目名称</w:t>
            </w:r>
          </w:p>
        </w:tc>
        <w:tc>
          <w:tcPr>
            <w:tcW w:w="403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D71EBCA">
            <w:pPr>
              <w:keepNext w:val="0"/>
              <w:keepLines w:val="0"/>
              <w:widowControl/>
              <w:suppressLineNumbers w:val="0"/>
              <w:jc w:val="lef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市保健委经费</w:t>
            </w:r>
          </w:p>
        </w:tc>
      </w:tr>
      <w:tr w14:paraId="24337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E96C4E">
            <w:pPr>
              <w:keepNext w:val="0"/>
              <w:keepLines w:val="0"/>
              <w:widowControl/>
              <w:suppressLineNumbers w:val="0"/>
              <w:jc w:val="righ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主管部门</w:t>
            </w:r>
          </w:p>
        </w:tc>
        <w:tc>
          <w:tcPr>
            <w:tcW w:w="13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520190">
            <w:pPr>
              <w:keepNext w:val="0"/>
              <w:keepLines w:val="0"/>
              <w:widowControl/>
              <w:suppressLineNumbers w:val="0"/>
              <w:jc w:val="lef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巴彦淖尔市卫生健康委员会（部门）</w:t>
            </w:r>
          </w:p>
        </w:tc>
        <w:tc>
          <w:tcPr>
            <w:tcW w:w="6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63D877">
            <w:pPr>
              <w:keepNext w:val="0"/>
              <w:keepLines w:val="0"/>
              <w:widowControl/>
              <w:suppressLineNumbers w:val="0"/>
              <w:jc w:val="righ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实施单位</w:t>
            </w:r>
          </w:p>
        </w:tc>
        <w:tc>
          <w:tcPr>
            <w:tcW w:w="193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7BFCF95">
            <w:pPr>
              <w:keepNext w:val="0"/>
              <w:keepLines w:val="0"/>
              <w:widowControl/>
              <w:suppressLineNumbers w:val="0"/>
              <w:jc w:val="lef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巴彦淖尔市卫生健康委员会</w:t>
            </w:r>
          </w:p>
        </w:tc>
      </w:tr>
      <w:tr w14:paraId="727E2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6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B0DE1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项目资金</w:t>
            </w:r>
            <w:r>
              <w:rPr>
                <w:rFonts w:hint="eastAsia" w:ascii="宋体" w:hAnsi="宋体" w:eastAsia="宋体" w:cs="宋体"/>
                <w:i w:val="0"/>
                <w:iCs w:val="0"/>
                <w:color w:val="000000"/>
                <w:kern w:val="0"/>
                <w:sz w:val="18"/>
                <w:szCs w:val="18"/>
                <w:u w:val="none" w:color="auto"/>
                <w:lang w:val="en-US" w:eastAsia="zh-CN" w:bidi="ar"/>
              </w:rPr>
              <w:br w:type="textWrapping"/>
            </w:r>
            <w:r>
              <w:rPr>
                <w:rFonts w:hint="eastAsia" w:ascii="宋体" w:hAnsi="宋体" w:eastAsia="宋体" w:cs="宋体"/>
                <w:i w:val="0"/>
                <w:iCs w:val="0"/>
                <w:color w:val="000000"/>
                <w:kern w:val="0"/>
                <w:sz w:val="18"/>
                <w:szCs w:val="18"/>
                <w:u w:val="none" w:color="auto"/>
                <w:lang w:val="en-US" w:eastAsia="zh-CN" w:bidi="ar"/>
              </w:rPr>
              <w:t>（万元）</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0CC6D">
            <w:pPr>
              <w:rPr>
                <w:rFonts w:hint="eastAsia" w:ascii="宋体" w:hAnsi="宋体" w:eastAsia="宋体" w:cs="宋体"/>
                <w:i w:val="0"/>
                <w:iCs w:val="0"/>
                <w:color w:val="000000"/>
                <w:sz w:val="18"/>
                <w:szCs w:val="18"/>
                <w:u w:val="none" w:color="auto"/>
              </w:rPr>
            </w:pP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C2E5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年初预算数</w:t>
            </w:r>
          </w:p>
        </w:tc>
        <w:tc>
          <w:tcPr>
            <w:tcW w:w="6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E410A6">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全年预算数</w:t>
            </w:r>
          </w:p>
        </w:tc>
        <w:tc>
          <w:tcPr>
            <w:tcW w:w="6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67A38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全年执行数</w:t>
            </w:r>
          </w:p>
        </w:tc>
        <w:tc>
          <w:tcPr>
            <w:tcW w:w="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54CD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分值</w:t>
            </w:r>
          </w:p>
        </w:tc>
        <w:tc>
          <w:tcPr>
            <w:tcW w:w="69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E1E0B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执行率（%）</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1AF8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得分</w:t>
            </w:r>
          </w:p>
        </w:tc>
      </w:tr>
      <w:tr w14:paraId="7AB04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C21929">
            <w:pPr>
              <w:jc w:val="center"/>
              <w:rPr>
                <w:rFonts w:hint="eastAsia" w:ascii="宋体" w:hAnsi="宋体" w:eastAsia="宋体" w:cs="宋体"/>
                <w:i w:val="0"/>
                <w:iCs w:val="0"/>
                <w:color w:val="000000"/>
                <w:sz w:val="18"/>
                <w:szCs w:val="18"/>
                <w:u w:val="none" w:color="auto"/>
              </w:rPr>
            </w:pP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0CC2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年度资金总额</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80ABB">
            <w:pPr>
              <w:keepNext w:val="0"/>
              <w:keepLines w:val="0"/>
              <w:widowControl/>
              <w:suppressLineNumbers w:val="0"/>
              <w:jc w:val="lef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95</w:t>
            </w:r>
          </w:p>
        </w:tc>
        <w:tc>
          <w:tcPr>
            <w:tcW w:w="6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179EE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64.59</w:t>
            </w:r>
          </w:p>
        </w:tc>
        <w:tc>
          <w:tcPr>
            <w:tcW w:w="6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134CB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64.59</w:t>
            </w:r>
          </w:p>
        </w:tc>
        <w:tc>
          <w:tcPr>
            <w:tcW w:w="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5235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w:t>
            </w:r>
          </w:p>
        </w:tc>
        <w:tc>
          <w:tcPr>
            <w:tcW w:w="69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AAEC6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100</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D8DA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w:t>
            </w:r>
          </w:p>
        </w:tc>
      </w:tr>
      <w:tr w14:paraId="40884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8957D">
            <w:pPr>
              <w:jc w:val="center"/>
              <w:rPr>
                <w:rFonts w:hint="eastAsia" w:ascii="宋体" w:hAnsi="宋体" w:eastAsia="宋体" w:cs="宋体"/>
                <w:i w:val="0"/>
                <w:iCs w:val="0"/>
                <w:color w:val="000000"/>
                <w:sz w:val="18"/>
                <w:szCs w:val="18"/>
                <w:u w:val="none" w:color="auto"/>
              </w:rPr>
            </w:pP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AAC07">
            <w:pPr>
              <w:keepNext w:val="0"/>
              <w:keepLines w:val="0"/>
              <w:widowControl/>
              <w:suppressLineNumbers w:val="0"/>
              <w:jc w:val="lef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其中：财政拨款</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2F7E1">
            <w:pPr>
              <w:keepNext w:val="0"/>
              <w:keepLines w:val="0"/>
              <w:widowControl/>
              <w:suppressLineNumbers w:val="0"/>
              <w:jc w:val="lef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95</w:t>
            </w:r>
          </w:p>
        </w:tc>
        <w:tc>
          <w:tcPr>
            <w:tcW w:w="6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7FCAD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64.59</w:t>
            </w:r>
          </w:p>
        </w:tc>
        <w:tc>
          <w:tcPr>
            <w:tcW w:w="6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A76B2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64.59</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B0623">
            <w:pPr>
              <w:keepNext w:val="0"/>
              <w:keepLines w:val="0"/>
              <w:widowControl/>
              <w:suppressLineNumbers w:val="0"/>
              <w:jc w:val="center"/>
              <w:textAlignment w:val="center"/>
              <w:rPr>
                <w:rFonts w:ascii="Arial" w:hAnsi="Arial" w:eastAsia="宋体" w:cs="Arial"/>
                <w:i w:val="0"/>
                <w:iCs w:val="0"/>
                <w:color w:val="222222"/>
                <w:sz w:val="19"/>
                <w:szCs w:val="19"/>
                <w:u w:val="none" w:color="auto"/>
              </w:rPr>
            </w:pPr>
            <w:r>
              <w:rPr>
                <w:rFonts w:hint="default" w:ascii="Arial" w:hAnsi="Arial" w:eastAsia="宋体" w:cs="Arial"/>
                <w:i w:val="0"/>
                <w:iCs w:val="0"/>
                <w:color w:val="222222"/>
                <w:kern w:val="0"/>
                <w:sz w:val="19"/>
                <w:szCs w:val="19"/>
                <w:u w:val="none" w:color="auto"/>
                <w:lang w:val="en-US" w:eastAsia="zh-CN" w:bidi="ar"/>
              </w:rPr>
              <w:t>——</w:t>
            </w:r>
          </w:p>
        </w:tc>
        <w:tc>
          <w:tcPr>
            <w:tcW w:w="69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3337A1">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100</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A9330">
            <w:pPr>
              <w:keepNext w:val="0"/>
              <w:keepLines w:val="0"/>
              <w:widowControl/>
              <w:suppressLineNumbers w:val="0"/>
              <w:jc w:val="center"/>
              <w:textAlignment w:val="center"/>
              <w:rPr>
                <w:rFonts w:hint="default" w:ascii="Arial" w:hAnsi="Arial" w:eastAsia="宋体" w:cs="Arial"/>
                <w:i w:val="0"/>
                <w:iCs w:val="0"/>
                <w:color w:val="222222"/>
                <w:sz w:val="19"/>
                <w:szCs w:val="19"/>
                <w:u w:val="none" w:color="auto"/>
              </w:rPr>
            </w:pPr>
            <w:r>
              <w:rPr>
                <w:rFonts w:hint="default" w:ascii="Arial" w:hAnsi="Arial" w:eastAsia="宋体" w:cs="Arial"/>
                <w:i w:val="0"/>
                <w:iCs w:val="0"/>
                <w:color w:val="222222"/>
                <w:kern w:val="0"/>
                <w:sz w:val="19"/>
                <w:szCs w:val="19"/>
                <w:u w:val="none" w:color="auto"/>
                <w:lang w:val="en-US" w:eastAsia="zh-CN" w:bidi="ar"/>
              </w:rPr>
              <w:t>——</w:t>
            </w:r>
          </w:p>
        </w:tc>
      </w:tr>
      <w:tr w14:paraId="632C0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66E9B">
            <w:pPr>
              <w:jc w:val="center"/>
              <w:rPr>
                <w:rFonts w:hint="eastAsia" w:ascii="宋体" w:hAnsi="宋体" w:eastAsia="宋体" w:cs="宋体"/>
                <w:i w:val="0"/>
                <w:iCs w:val="0"/>
                <w:color w:val="000000"/>
                <w:sz w:val="18"/>
                <w:szCs w:val="18"/>
                <w:u w:val="none" w:color="auto"/>
              </w:rPr>
            </w:pP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0208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上年结转资金</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199FB">
            <w:pPr>
              <w:rPr>
                <w:rFonts w:hint="eastAsia" w:ascii="宋体" w:hAnsi="宋体" w:eastAsia="宋体" w:cs="宋体"/>
                <w:i w:val="0"/>
                <w:iCs w:val="0"/>
                <w:color w:val="000000"/>
                <w:sz w:val="18"/>
                <w:szCs w:val="18"/>
                <w:u w:val="none" w:color="auto"/>
              </w:rPr>
            </w:pPr>
          </w:p>
        </w:tc>
        <w:tc>
          <w:tcPr>
            <w:tcW w:w="6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164DAB">
            <w:pPr>
              <w:jc w:val="center"/>
              <w:rPr>
                <w:rFonts w:hint="eastAsia" w:ascii="宋体" w:hAnsi="宋体" w:eastAsia="宋体" w:cs="宋体"/>
                <w:i w:val="0"/>
                <w:iCs w:val="0"/>
                <w:color w:val="000000"/>
                <w:sz w:val="18"/>
                <w:szCs w:val="18"/>
                <w:u w:val="none" w:color="auto"/>
              </w:rPr>
            </w:pPr>
          </w:p>
        </w:tc>
        <w:tc>
          <w:tcPr>
            <w:tcW w:w="6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F7D9BB">
            <w:pPr>
              <w:jc w:val="center"/>
              <w:rPr>
                <w:rFonts w:hint="eastAsia" w:ascii="宋体" w:hAnsi="宋体" w:eastAsia="宋体" w:cs="宋体"/>
                <w:i w:val="0"/>
                <w:iCs w:val="0"/>
                <w:color w:val="000000"/>
                <w:sz w:val="18"/>
                <w:szCs w:val="18"/>
                <w:u w:val="none" w:color="auto"/>
              </w:rPr>
            </w:pP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D1CBA">
            <w:pPr>
              <w:keepNext w:val="0"/>
              <w:keepLines w:val="0"/>
              <w:widowControl/>
              <w:suppressLineNumbers w:val="0"/>
              <w:jc w:val="center"/>
              <w:textAlignment w:val="center"/>
              <w:rPr>
                <w:rFonts w:hint="default" w:ascii="Arial" w:hAnsi="Arial" w:eastAsia="宋体" w:cs="Arial"/>
                <w:i w:val="0"/>
                <w:iCs w:val="0"/>
                <w:color w:val="222222"/>
                <w:sz w:val="19"/>
                <w:szCs w:val="19"/>
                <w:u w:val="none" w:color="auto"/>
              </w:rPr>
            </w:pPr>
            <w:r>
              <w:rPr>
                <w:rFonts w:hint="default" w:ascii="Arial" w:hAnsi="Arial" w:eastAsia="宋体" w:cs="Arial"/>
                <w:i w:val="0"/>
                <w:iCs w:val="0"/>
                <w:color w:val="222222"/>
                <w:kern w:val="0"/>
                <w:sz w:val="19"/>
                <w:szCs w:val="19"/>
                <w:u w:val="none" w:color="auto"/>
                <w:lang w:val="en-US" w:eastAsia="zh-CN" w:bidi="ar"/>
              </w:rPr>
              <w:t>——</w:t>
            </w:r>
          </w:p>
        </w:tc>
        <w:tc>
          <w:tcPr>
            <w:tcW w:w="69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A3F11A">
            <w:pPr>
              <w:jc w:val="center"/>
              <w:rPr>
                <w:rFonts w:hint="eastAsia" w:ascii="宋体" w:hAnsi="宋体" w:eastAsia="宋体" w:cs="宋体"/>
                <w:i w:val="0"/>
                <w:iCs w:val="0"/>
                <w:color w:val="000000"/>
                <w:sz w:val="18"/>
                <w:szCs w:val="18"/>
                <w:u w:val="none" w:color="auto"/>
              </w:rPr>
            </w:pP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A4DA8">
            <w:pPr>
              <w:keepNext w:val="0"/>
              <w:keepLines w:val="0"/>
              <w:widowControl/>
              <w:suppressLineNumbers w:val="0"/>
              <w:jc w:val="center"/>
              <w:textAlignment w:val="center"/>
              <w:rPr>
                <w:rFonts w:hint="default" w:ascii="Arial" w:hAnsi="Arial" w:eastAsia="宋体" w:cs="Arial"/>
                <w:i w:val="0"/>
                <w:iCs w:val="0"/>
                <w:color w:val="222222"/>
                <w:sz w:val="19"/>
                <w:szCs w:val="19"/>
                <w:u w:val="none" w:color="auto"/>
              </w:rPr>
            </w:pPr>
            <w:r>
              <w:rPr>
                <w:rFonts w:hint="default" w:ascii="Arial" w:hAnsi="Arial" w:eastAsia="宋体" w:cs="Arial"/>
                <w:i w:val="0"/>
                <w:iCs w:val="0"/>
                <w:color w:val="222222"/>
                <w:kern w:val="0"/>
                <w:sz w:val="19"/>
                <w:szCs w:val="19"/>
                <w:u w:val="none" w:color="auto"/>
                <w:lang w:val="en-US" w:eastAsia="zh-CN" w:bidi="ar"/>
              </w:rPr>
              <w:t>——</w:t>
            </w:r>
          </w:p>
        </w:tc>
      </w:tr>
      <w:tr w14:paraId="76150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6A894A">
            <w:pPr>
              <w:jc w:val="center"/>
              <w:rPr>
                <w:rFonts w:hint="eastAsia" w:ascii="宋体" w:hAnsi="宋体" w:eastAsia="宋体" w:cs="宋体"/>
                <w:i w:val="0"/>
                <w:iCs w:val="0"/>
                <w:color w:val="000000"/>
                <w:sz w:val="18"/>
                <w:szCs w:val="18"/>
                <w:u w:val="none" w:color="auto"/>
              </w:rPr>
            </w:pP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9B05A">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其他资金</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FC2C4">
            <w:pPr>
              <w:keepNext w:val="0"/>
              <w:keepLines w:val="0"/>
              <w:widowControl/>
              <w:suppressLineNumbers w:val="0"/>
              <w:jc w:val="lef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0</w:t>
            </w:r>
          </w:p>
        </w:tc>
        <w:tc>
          <w:tcPr>
            <w:tcW w:w="6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1E522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0</w:t>
            </w:r>
          </w:p>
        </w:tc>
        <w:tc>
          <w:tcPr>
            <w:tcW w:w="6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FFCBD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0</w:t>
            </w:r>
          </w:p>
        </w:tc>
        <w:tc>
          <w:tcPr>
            <w:tcW w:w="3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3DE7A">
            <w:pPr>
              <w:keepNext w:val="0"/>
              <w:keepLines w:val="0"/>
              <w:widowControl/>
              <w:suppressLineNumbers w:val="0"/>
              <w:jc w:val="center"/>
              <w:textAlignment w:val="center"/>
              <w:rPr>
                <w:rFonts w:hint="default" w:ascii="Arial" w:hAnsi="Arial" w:eastAsia="宋体" w:cs="Arial"/>
                <w:i w:val="0"/>
                <w:iCs w:val="0"/>
                <w:color w:val="222222"/>
                <w:sz w:val="19"/>
                <w:szCs w:val="19"/>
                <w:u w:val="none" w:color="auto"/>
              </w:rPr>
            </w:pPr>
            <w:r>
              <w:rPr>
                <w:rFonts w:hint="default" w:ascii="Arial" w:hAnsi="Arial" w:eastAsia="宋体" w:cs="Arial"/>
                <w:i w:val="0"/>
                <w:iCs w:val="0"/>
                <w:color w:val="222222"/>
                <w:kern w:val="0"/>
                <w:sz w:val="19"/>
                <w:szCs w:val="19"/>
                <w:u w:val="none" w:color="auto"/>
                <w:lang w:val="en-US" w:eastAsia="zh-CN" w:bidi="ar"/>
              </w:rPr>
              <w:t>——</w:t>
            </w:r>
          </w:p>
        </w:tc>
        <w:tc>
          <w:tcPr>
            <w:tcW w:w="69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7BCDD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0</w:t>
            </w:r>
          </w:p>
        </w:tc>
        <w:tc>
          <w:tcPr>
            <w:tcW w:w="8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321A6">
            <w:pPr>
              <w:keepNext w:val="0"/>
              <w:keepLines w:val="0"/>
              <w:widowControl/>
              <w:suppressLineNumbers w:val="0"/>
              <w:jc w:val="center"/>
              <w:textAlignment w:val="center"/>
              <w:rPr>
                <w:rFonts w:hint="default" w:ascii="Arial" w:hAnsi="Arial" w:eastAsia="宋体" w:cs="Arial"/>
                <w:i w:val="0"/>
                <w:iCs w:val="0"/>
                <w:color w:val="222222"/>
                <w:sz w:val="19"/>
                <w:szCs w:val="19"/>
                <w:u w:val="none" w:color="auto"/>
              </w:rPr>
            </w:pPr>
            <w:r>
              <w:rPr>
                <w:rFonts w:hint="default" w:ascii="Arial" w:hAnsi="Arial" w:eastAsia="宋体" w:cs="Arial"/>
                <w:i w:val="0"/>
                <w:iCs w:val="0"/>
                <w:color w:val="222222"/>
                <w:kern w:val="0"/>
                <w:sz w:val="19"/>
                <w:szCs w:val="19"/>
                <w:u w:val="none" w:color="auto"/>
                <w:lang w:val="en-US" w:eastAsia="zh-CN" w:bidi="ar"/>
              </w:rPr>
              <w:t>——</w:t>
            </w:r>
          </w:p>
        </w:tc>
      </w:tr>
      <w:tr w14:paraId="2B29D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6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86106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年度总体目标</w:t>
            </w:r>
          </w:p>
        </w:tc>
        <w:tc>
          <w:tcPr>
            <w:tcW w:w="174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59E45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预期目标</w:t>
            </w:r>
          </w:p>
        </w:tc>
        <w:tc>
          <w:tcPr>
            <w:tcW w:w="228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735D6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实际完成情况</w:t>
            </w:r>
          </w:p>
        </w:tc>
      </w:tr>
      <w:tr w14:paraId="37DE2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trPr>
        <w:tc>
          <w:tcPr>
            <w:tcW w:w="9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D1F1A3">
            <w:pPr>
              <w:jc w:val="center"/>
              <w:rPr>
                <w:rFonts w:hint="eastAsia" w:ascii="宋体" w:hAnsi="宋体" w:eastAsia="宋体" w:cs="宋体"/>
                <w:i w:val="0"/>
                <w:iCs w:val="0"/>
                <w:color w:val="000000"/>
                <w:sz w:val="18"/>
                <w:szCs w:val="18"/>
                <w:u w:val="none" w:color="auto"/>
              </w:rPr>
            </w:pPr>
          </w:p>
        </w:tc>
        <w:tc>
          <w:tcPr>
            <w:tcW w:w="174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2091D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 xml:space="preserve"> 目标1：按照市委组织部审定名单，安排市直单位、驻市条管单位干部保健体检；  目标2：厅级保健干部体检筛查的重点健康危险因素市外复查；  目标3：厅级保健干部保健药品和疫苗；  目标4：完成重大活动、重要会议医疗保健工作。</w:t>
            </w:r>
          </w:p>
        </w:tc>
        <w:tc>
          <w:tcPr>
            <w:tcW w:w="228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DB98C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 xml:space="preserve"> 目标1：按照市委组织部审定名单，安排市直单位、驻市条管单位干部保健体检；  目标2：厅级保健干部体检筛查的重点健康危险因素市外复查；  目标3：厅级保健干部保健药品和疫苗；  目标4：完成重大活动、重要会议医疗保健工作。</w:t>
            </w:r>
          </w:p>
        </w:tc>
      </w:tr>
      <w:tr w14:paraId="32A4A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F776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绩效指标</w:t>
            </w:r>
          </w:p>
        </w:tc>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D670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一级指标</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3D3F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二级指标</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C0F6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三级指标</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11BF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指标性质</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25756">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指标方向</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728F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年度指标值</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533C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实际完成值</w:t>
            </w:r>
          </w:p>
        </w:tc>
        <w:tc>
          <w:tcPr>
            <w:tcW w:w="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68C4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计量单位</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24D7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分值</w:t>
            </w: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EC06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得分</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D036F">
            <w:pPr>
              <w:keepNext w:val="0"/>
              <w:keepLines w:val="0"/>
              <w:widowControl/>
              <w:suppressLineNumbers w:val="0"/>
              <w:jc w:val="lef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偏差原因分析及改进措施</w:t>
            </w:r>
          </w:p>
        </w:tc>
      </w:tr>
      <w:tr w14:paraId="403C8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3" w:type="pct"/>
            <w:vMerge w:val="restart"/>
            <w:tcBorders>
              <w:top w:val="single" w:color="000000" w:sz="4" w:space="0"/>
              <w:left w:val="single" w:color="000000" w:sz="4" w:space="0"/>
              <w:bottom w:val="nil"/>
              <w:right w:val="single" w:color="000000" w:sz="4" w:space="0"/>
            </w:tcBorders>
            <w:shd w:val="clear" w:color="auto" w:fill="auto"/>
            <w:vAlign w:val="center"/>
          </w:tcPr>
          <w:p w14:paraId="65E7B1C1">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绩效指标</w:t>
            </w:r>
          </w:p>
        </w:tc>
        <w:tc>
          <w:tcPr>
            <w:tcW w:w="210" w:type="pct"/>
            <w:vMerge w:val="restart"/>
            <w:tcBorders>
              <w:top w:val="single" w:color="000000" w:sz="4" w:space="0"/>
              <w:left w:val="single" w:color="000000" w:sz="4" w:space="0"/>
              <w:bottom w:val="nil"/>
              <w:right w:val="single" w:color="000000" w:sz="4" w:space="0"/>
            </w:tcBorders>
            <w:shd w:val="clear" w:color="auto" w:fill="auto"/>
            <w:vAlign w:val="center"/>
          </w:tcPr>
          <w:p w14:paraId="32FFD05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产出指标</w:t>
            </w:r>
          </w:p>
        </w:tc>
        <w:tc>
          <w:tcPr>
            <w:tcW w:w="348" w:type="pct"/>
            <w:vMerge w:val="restart"/>
            <w:tcBorders>
              <w:top w:val="single" w:color="000000" w:sz="4" w:space="0"/>
              <w:left w:val="single" w:color="000000" w:sz="4" w:space="0"/>
              <w:bottom w:val="nil"/>
              <w:right w:val="single" w:color="000000" w:sz="4" w:space="0"/>
            </w:tcBorders>
            <w:shd w:val="clear" w:color="auto" w:fill="auto"/>
            <w:vAlign w:val="center"/>
          </w:tcPr>
          <w:p w14:paraId="138B5FF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数量指标</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287E8F7A">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保健体检人数</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33A29E2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6059710A">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大于等于</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2B658DB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210</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767FC68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246</w:t>
            </w:r>
          </w:p>
        </w:tc>
        <w:tc>
          <w:tcPr>
            <w:tcW w:w="353" w:type="pct"/>
            <w:tcBorders>
              <w:top w:val="single" w:color="000000" w:sz="4" w:space="0"/>
              <w:left w:val="single" w:color="000000" w:sz="4" w:space="0"/>
              <w:bottom w:val="nil"/>
              <w:right w:val="single" w:color="000000" w:sz="4" w:space="0"/>
            </w:tcBorders>
            <w:shd w:val="clear" w:color="auto" w:fill="auto"/>
            <w:vAlign w:val="center"/>
          </w:tcPr>
          <w:p w14:paraId="5DD4B9F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人</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4F7E4811">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350" w:type="pct"/>
            <w:tcBorders>
              <w:top w:val="single" w:color="000000" w:sz="4" w:space="0"/>
              <w:left w:val="single" w:color="000000" w:sz="4" w:space="0"/>
              <w:bottom w:val="nil"/>
              <w:right w:val="single" w:color="000000" w:sz="4" w:space="0"/>
            </w:tcBorders>
            <w:shd w:val="clear" w:color="auto" w:fill="auto"/>
            <w:vAlign w:val="center"/>
          </w:tcPr>
          <w:p w14:paraId="67BDD52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887" w:type="pct"/>
            <w:tcBorders>
              <w:top w:val="single" w:color="000000" w:sz="4" w:space="0"/>
              <w:left w:val="single" w:color="000000" w:sz="4" w:space="0"/>
              <w:bottom w:val="nil"/>
              <w:right w:val="single" w:color="000000" w:sz="4" w:space="0"/>
            </w:tcBorders>
            <w:shd w:val="clear" w:color="auto" w:fill="auto"/>
            <w:vAlign w:val="center"/>
          </w:tcPr>
          <w:p w14:paraId="3663E8D4">
            <w:pPr>
              <w:jc w:val="center"/>
              <w:rPr>
                <w:rFonts w:hint="eastAsia" w:ascii="宋体" w:hAnsi="宋体" w:eastAsia="宋体" w:cs="宋体"/>
                <w:i w:val="0"/>
                <w:iCs w:val="0"/>
                <w:color w:val="000000"/>
                <w:sz w:val="18"/>
                <w:szCs w:val="18"/>
                <w:u w:val="none" w:color="auto"/>
              </w:rPr>
            </w:pPr>
          </w:p>
        </w:tc>
      </w:tr>
      <w:tr w14:paraId="3D129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3" w:type="pct"/>
            <w:vMerge w:val="continue"/>
            <w:tcBorders>
              <w:top w:val="single" w:color="000000" w:sz="4" w:space="0"/>
              <w:left w:val="single" w:color="000000" w:sz="4" w:space="0"/>
              <w:bottom w:val="nil"/>
              <w:right w:val="single" w:color="000000" w:sz="4" w:space="0"/>
            </w:tcBorders>
            <w:shd w:val="clear" w:color="auto" w:fill="auto"/>
            <w:vAlign w:val="center"/>
          </w:tcPr>
          <w:p w14:paraId="3F63B0F6">
            <w:pPr>
              <w:jc w:val="center"/>
              <w:rPr>
                <w:rFonts w:hint="eastAsia" w:ascii="宋体" w:hAnsi="宋体" w:eastAsia="宋体" w:cs="宋体"/>
                <w:i w:val="0"/>
                <w:iCs w:val="0"/>
                <w:color w:val="000000"/>
                <w:sz w:val="18"/>
                <w:szCs w:val="18"/>
                <w:u w:val="none" w:color="auto"/>
              </w:rPr>
            </w:pPr>
          </w:p>
        </w:tc>
        <w:tc>
          <w:tcPr>
            <w:tcW w:w="210" w:type="pct"/>
            <w:vMerge w:val="continue"/>
            <w:tcBorders>
              <w:top w:val="single" w:color="000000" w:sz="4" w:space="0"/>
              <w:left w:val="single" w:color="000000" w:sz="4" w:space="0"/>
              <w:bottom w:val="nil"/>
              <w:right w:val="single" w:color="000000" w:sz="4" w:space="0"/>
            </w:tcBorders>
            <w:shd w:val="clear" w:color="auto" w:fill="auto"/>
            <w:vAlign w:val="center"/>
          </w:tcPr>
          <w:p w14:paraId="31B5B489">
            <w:pPr>
              <w:jc w:val="center"/>
              <w:rPr>
                <w:rFonts w:hint="eastAsia" w:ascii="宋体" w:hAnsi="宋体" w:eastAsia="宋体" w:cs="宋体"/>
                <w:i w:val="0"/>
                <w:iCs w:val="0"/>
                <w:color w:val="000000"/>
                <w:sz w:val="18"/>
                <w:szCs w:val="18"/>
                <w:u w:val="none" w:color="auto"/>
              </w:rPr>
            </w:pPr>
          </w:p>
        </w:tc>
        <w:tc>
          <w:tcPr>
            <w:tcW w:w="348" w:type="pct"/>
            <w:vMerge w:val="continue"/>
            <w:tcBorders>
              <w:top w:val="single" w:color="000000" w:sz="4" w:space="0"/>
              <w:left w:val="single" w:color="000000" w:sz="4" w:space="0"/>
              <w:bottom w:val="nil"/>
              <w:right w:val="single" w:color="000000" w:sz="4" w:space="0"/>
            </w:tcBorders>
            <w:shd w:val="clear" w:color="auto" w:fill="auto"/>
            <w:vAlign w:val="center"/>
          </w:tcPr>
          <w:p w14:paraId="61F00900">
            <w:pPr>
              <w:jc w:val="center"/>
              <w:rPr>
                <w:rFonts w:hint="eastAsia" w:ascii="宋体" w:hAnsi="宋体" w:eastAsia="宋体" w:cs="宋体"/>
                <w:i w:val="0"/>
                <w:iCs w:val="0"/>
                <w:color w:val="000000"/>
                <w:sz w:val="18"/>
                <w:szCs w:val="18"/>
                <w:u w:val="none" w:color="auto"/>
              </w:rPr>
            </w:pPr>
          </w:p>
        </w:tc>
        <w:tc>
          <w:tcPr>
            <w:tcW w:w="348" w:type="pct"/>
            <w:tcBorders>
              <w:top w:val="single" w:color="000000" w:sz="4" w:space="0"/>
              <w:left w:val="single" w:color="000000" w:sz="4" w:space="0"/>
              <w:bottom w:val="nil"/>
              <w:right w:val="single" w:color="000000" w:sz="4" w:space="0"/>
            </w:tcBorders>
            <w:shd w:val="clear" w:color="auto" w:fill="auto"/>
            <w:vAlign w:val="center"/>
          </w:tcPr>
          <w:p w14:paraId="6C2E239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重大活动医疗保健任务</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459FD5C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6905310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大于等于</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70928B8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2B8A911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17</w:t>
            </w:r>
          </w:p>
        </w:tc>
        <w:tc>
          <w:tcPr>
            <w:tcW w:w="353" w:type="pct"/>
            <w:tcBorders>
              <w:top w:val="single" w:color="000000" w:sz="4" w:space="0"/>
              <w:left w:val="single" w:color="000000" w:sz="4" w:space="0"/>
              <w:bottom w:val="nil"/>
              <w:right w:val="single" w:color="000000" w:sz="4" w:space="0"/>
            </w:tcBorders>
            <w:shd w:val="clear" w:color="auto" w:fill="auto"/>
            <w:vAlign w:val="center"/>
          </w:tcPr>
          <w:p w14:paraId="48F2C87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次</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4F056FC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350" w:type="pct"/>
            <w:tcBorders>
              <w:top w:val="single" w:color="000000" w:sz="4" w:space="0"/>
              <w:left w:val="single" w:color="000000" w:sz="4" w:space="0"/>
              <w:bottom w:val="nil"/>
              <w:right w:val="single" w:color="000000" w:sz="4" w:space="0"/>
            </w:tcBorders>
            <w:shd w:val="clear" w:color="auto" w:fill="auto"/>
            <w:vAlign w:val="center"/>
          </w:tcPr>
          <w:p w14:paraId="6AA617B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887" w:type="pct"/>
            <w:tcBorders>
              <w:top w:val="single" w:color="000000" w:sz="4" w:space="0"/>
              <w:left w:val="single" w:color="000000" w:sz="4" w:space="0"/>
              <w:bottom w:val="nil"/>
              <w:right w:val="single" w:color="000000" w:sz="4" w:space="0"/>
            </w:tcBorders>
            <w:shd w:val="clear" w:color="auto" w:fill="auto"/>
            <w:vAlign w:val="center"/>
          </w:tcPr>
          <w:p w14:paraId="62D9106B">
            <w:pPr>
              <w:jc w:val="center"/>
              <w:rPr>
                <w:rFonts w:hint="eastAsia" w:ascii="宋体" w:hAnsi="宋体" w:eastAsia="宋体" w:cs="宋体"/>
                <w:i w:val="0"/>
                <w:iCs w:val="0"/>
                <w:color w:val="000000"/>
                <w:sz w:val="18"/>
                <w:szCs w:val="18"/>
                <w:u w:val="none" w:color="auto"/>
              </w:rPr>
            </w:pPr>
          </w:p>
        </w:tc>
      </w:tr>
      <w:tr w14:paraId="7A6DB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3" w:type="pct"/>
            <w:vMerge w:val="continue"/>
            <w:tcBorders>
              <w:top w:val="single" w:color="000000" w:sz="4" w:space="0"/>
              <w:left w:val="single" w:color="000000" w:sz="4" w:space="0"/>
              <w:bottom w:val="nil"/>
              <w:right w:val="single" w:color="000000" w:sz="4" w:space="0"/>
            </w:tcBorders>
            <w:shd w:val="clear" w:color="auto" w:fill="auto"/>
            <w:vAlign w:val="center"/>
          </w:tcPr>
          <w:p w14:paraId="2AF3146E">
            <w:pPr>
              <w:jc w:val="center"/>
              <w:rPr>
                <w:rFonts w:hint="eastAsia" w:ascii="宋体" w:hAnsi="宋体" w:eastAsia="宋体" w:cs="宋体"/>
                <w:i w:val="0"/>
                <w:iCs w:val="0"/>
                <w:color w:val="000000"/>
                <w:sz w:val="18"/>
                <w:szCs w:val="18"/>
                <w:u w:val="none" w:color="auto"/>
              </w:rPr>
            </w:pPr>
          </w:p>
        </w:tc>
        <w:tc>
          <w:tcPr>
            <w:tcW w:w="210" w:type="pct"/>
            <w:vMerge w:val="continue"/>
            <w:tcBorders>
              <w:top w:val="single" w:color="000000" w:sz="4" w:space="0"/>
              <w:left w:val="single" w:color="000000" w:sz="4" w:space="0"/>
              <w:bottom w:val="nil"/>
              <w:right w:val="single" w:color="000000" w:sz="4" w:space="0"/>
            </w:tcBorders>
            <w:shd w:val="clear" w:color="auto" w:fill="auto"/>
            <w:vAlign w:val="center"/>
          </w:tcPr>
          <w:p w14:paraId="5F4C5B61">
            <w:pPr>
              <w:jc w:val="center"/>
              <w:rPr>
                <w:rFonts w:hint="eastAsia" w:ascii="宋体" w:hAnsi="宋体" w:eastAsia="宋体" w:cs="宋体"/>
                <w:i w:val="0"/>
                <w:iCs w:val="0"/>
                <w:color w:val="000000"/>
                <w:sz w:val="18"/>
                <w:szCs w:val="18"/>
                <w:u w:val="none" w:color="auto"/>
              </w:rPr>
            </w:pPr>
          </w:p>
        </w:tc>
        <w:tc>
          <w:tcPr>
            <w:tcW w:w="348" w:type="pct"/>
            <w:vMerge w:val="continue"/>
            <w:tcBorders>
              <w:top w:val="single" w:color="000000" w:sz="4" w:space="0"/>
              <w:left w:val="single" w:color="000000" w:sz="4" w:space="0"/>
              <w:bottom w:val="nil"/>
              <w:right w:val="single" w:color="000000" w:sz="4" w:space="0"/>
            </w:tcBorders>
            <w:shd w:val="clear" w:color="auto" w:fill="auto"/>
            <w:vAlign w:val="center"/>
          </w:tcPr>
          <w:p w14:paraId="244A6082">
            <w:pPr>
              <w:jc w:val="center"/>
              <w:rPr>
                <w:rFonts w:hint="eastAsia" w:ascii="宋体" w:hAnsi="宋体" w:eastAsia="宋体" w:cs="宋体"/>
                <w:i w:val="0"/>
                <w:iCs w:val="0"/>
                <w:color w:val="000000"/>
                <w:sz w:val="18"/>
                <w:szCs w:val="18"/>
                <w:u w:val="none" w:color="auto"/>
              </w:rPr>
            </w:pPr>
          </w:p>
        </w:tc>
        <w:tc>
          <w:tcPr>
            <w:tcW w:w="348" w:type="pct"/>
            <w:tcBorders>
              <w:top w:val="single" w:color="000000" w:sz="4" w:space="0"/>
              <w:left w:val="single" w:color="000000" w:sz="4" w:space="0"/>
              <w:bottom w:val="nil"/>
              <w:right w:val="single" w:color="000000" w:sz="4" w:space="0"/>
            </w:tcBorders>
            <w:shd w:val="clear" w:color="auto" w:fill="auto"/>
            <w:vAlign w:val="center"/>
          </w:tcPr>
          <w:p w14:paraId="03DD7DE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配置保健药箱</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2550770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75C18E3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大于等于</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4E5F4F8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50</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6B1343F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54</w:t>
            </w:r>
          </w:p>
        </w:tc>
        <w:tc>
          <w:tcPr>
            <w:tcW w:w="353" w:type="pct"/>
            <w:tcBorders>
              <w:top w:val="single" w:color="000000" w:sz="4" w:space="0"/>
              <w:left w:val="single" w:color="000000" w:sz="4" w:space="0"/>
              <w:bottom w:val="nil"/>
              <w:right w:val="single" w:color="000000" w:sz="4" w:space="0"/>
            </w:tcBorders>
            <w:shd w:val="clear" w:color="auto" w:fill="auto"/>
            <w:vAlign w:val="center"/>
          </w:tcPr>
          <w:p w14:paraId="69A66CB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份</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122CAD3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350" w:type="pct"/>
            <w:tcBorders>
              <w:top w:val="single" w:color="000000" w:sz="4" w:space="0"/>
              <w:left w:val="single" w:color="000000" w:sz="4" w:space="0"/>
              <w:bottom w:val="nil"/>
              <w:right w:val="single" w:color="000000" w:sz="4" w:space="0"/>
            </w:tcBorders>
            <w:shd w:val="clear" w:color="auto" w:fill="auto"/>
            <w:vAlign w:val="center"/>
          </w:tcPr>
          <w:p w14:paraId="7D11C46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887" w:type="pct"/>
            <w:tcBorders>
              <w:top w:val="single" w:color="000000" w:sz="4" w:space="0"/>
              <w:left w:val="single" w:color="000000" w:sz="4" w:space="0"/>
              <w:bottom w:val="nil"/>
              <w:right w:val="single" w:color="000000" w:sz="4" w:space="0"/>
            </w:tcBorders>
            <w:shd w:val="clear" w:color="auto" w:fill="auto"/>
            <w:vAlign w:val="center"/>
          </w:tcPr>
          <w:p w14:paraId="36C9F27A">
            <w:pPr>
              <w:jc w:val="center"/>
              <w:rPr>
                <w:rFonts w:hint="eastAsia" w:ascii="宋体" w:hAnsi="宋体" w:eastAsia="宋体" w:cs="宋体"/>
                <w:i w:val="0"/>
                <w:iCs w:val="0"/>
                <w:color w:val="000000"/>
                <w:sz w:val="18"/>
                <w:szCs w:val="18"/>
                <w:u w:val="none" w:color="auto"/>
              </w:rPr>
            </w:pPr>
          </w:p>
        </w:tc>
      </w:tr>
      <w:tr w14:paraId="5707A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3" w:type="pct"/>
            <w:vMerge w:val="continue"/>
            <w:tcBorders>
              <w:top w:val="single" w:color="000000" w:sz="4" w:space="0"/>
              <w:left w:val="single" w:color="000000" w:sz="4" w:space="0"/>
              <w:bottom w:val="nil"/>
              <w:right w:val="single" w:color="000000" w:sz="4" w:space="0"/>
            </w:tcBorders>
            <w:shd w:val="clear" w:color="auto" w:fill="auto"/>
            <w:vAlign w:val="center"/>
          </w:tcPr>
          <w:p w14:paraId="72265041">
            <w:pPr>
              <w:jc w:val="center"/>
              <w:rPr>
                <w:rFonts w:hint="eastAsia" w:ascii="宋体" w:hAnsi="宋体" w:eastAsia="宋体" w:cs="宋体"/>
                <w:i w:val="0"/>
                <w:iCs w:val="0"/>
                <w:color w:val="000000"/>
                <w:sz w:val="18"/>
                <w:szCs w:val="18"/>
                <w:u w:val="none" w:color="auto"/>
              </w:rPr>
            </w:pPr>
          </w:p>
        </w:tc>
        <w:tc>
          <w:tcPr>
            <w:tcW w:w="210" w:type="pct"/>
            <w:vMerge w:val="continue"/>
            <w:tcBorders>
              <w:top w:val="single" w:color="000000" w:sz="4" w:space="0"/>
              <w:left w:val="single" w:color="000000" w:sz="4" w:space="0"/>
              <w:bottom w:val="nil"/>
              <w:right w:val="single" w:color="000000" w:sz="4" w:space="0"/>
            </w:tcBorders>
            <w:shd w:val="clear" w:color="auto" w:fill="auto"/>
            <w:vAlign w:val="center"/>
          </w:tcPr>
          <w:p w14:paraId="6D6C266C">
            <w:pPr>
              <w:jc w:val="center"/>
              <w:rPr>
                <w:rFonts w:hint="eastAsia" w:ascii="宋体" w:hAnsi="宋体" w:eastAsia="宋体" w:cs="宋体"/>
                <w:i w:val="0"/>
                <w:iCs w:val="0"/>
                <w:color w:val="000000"/>
                <w:sz w:val="18"/>
                <w:szCs w:val="18"/>
                <w:u w:val="none" w:color="auto"/>
              </w:rPr>
            </w:pPr>
          </w:p>
        </w:tc>
        <w:tc>
          <w:tcPr>
            <w:tcW w:w="348" w:type="pct"/>
            <w:vMerge w:val="restart"/>
            <w:tcBorders>
              <w:top w:val="single" w:color="000000" w:sz="4" w:space="0"/>
              <w:left w:val="single" w:color="000000" w:sz="4" w:space="0"/>
              <w:bottom w:val="nil"/>
              <w:right w:val="single" w:color="000000" w:sz="4" w:space="0"/>
            </w:tcBorders>
            <w:shd w:val="clear" w:color="auto" w:fill="auto"/>
            <w:vAlign w:val="center"/>
          </w:tcPr>
          <w:p w14:paraId="072E906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质量指标</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6D06E1A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干部保健体检率</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20F62E5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2A74AE7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大于等于</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7BBE6EE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70</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1BA67F7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81</w:t>
            </w:r>
          </w:p>
        </w:tc>
        <w:tc>
          <w:tcPr>
            <w:tcW w:w="353" w:type="pct"/>
            <w:tcBorders>
              <w:top w:val="single" w:color="000000" w:sz="4" w:space="0"/>
              <w:left w:val="single" w:color="000000" w:sz="4" w:space="0"/>
              <w:bottom w:val="nil"/>
              <w:right w:val="single" w:color="000000" w:sz="4" w:space="0"/>
            </w:tcBorders>
            <w:shd w:val="clear" w:color="auto" w:fill="auto"/>
            <w:vAlign w:val="center"/>
          </w:tcPr>
          <w:p w14:paraId="04C89E0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452AB4CA">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350" w:type="pct"/>
            <w:tcBorders>
              <w:top w:val="single" w:color="000000" w:sz="4" w:space="0"/>
              <w:left w:val="single" w:color="000000" w:sz="4" w:space="0"/>
              <w:bottom w:val="nil"/>
              <w:right w:val="single" w:color="000000" w:sz="4" w:space="0"/>
            </w:tcBorders>
            <w:shd w:val="clear" w:color="auto" w:fill="auto"/>
            <w:vAlign w:val="center"/>
          </w:tcPr>
          <w:p w14:paraId="13F9B05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887" w:type="pct"/>
            <w:tcBorders>
              <w:top w:val="single" w:color="000000" w:sz="4" w:space="0"/>
              <w:left w:val="single" w:color="000000" w:sz="4" w:space="0"/>
              <w:bottom w:val="nil"/>
              <w:right w:val="single" w:color="000000" w:sz="4" w:space="0"/>
            </w:tcBorders>
            <w:shd w:val="clear" w:color="auto" w:fill="auto"/>
            <w:vAlign w:val="center"/>
          </w:tcPr>
          <w:p w14:paraId="4847C991">
            <w:pPr>
              <w:jc w:val="center"/>
              <w:rPr>
                <w:rFonts w:hint="eastAsia" w:ascii="宋体" w:hAnsi="宋体" w:eastAsia="宋体" w:cs="宋体"/>
                <w:i w:val="0"/>
                <w:iCs w:val="0"/>
                <w:color w:val="000000"/>
                <w:sz w:val="18"/>
                <w:szCs w:val="18"/>
                <w:u w:val="none" w:color="auto"/>
              </w:rPr>
            </w:pPr>
          </w:p>
        </w:tc>
      </w:tr>
      <w:tr w14:paraId="57632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3" w:type="pct"/>
            <w:vMerge w:val="continue"/>
            <w:tcBorders>
              <w:top w:val="single" w:color="000000" w:sz="4" w:space="0"/>
              <w:left w:val="single" w:color="000000" w:sz="4" w:space="0"/>
              <w:bottom w:val="nil"/>
              <w:right w:val="single" w:color="000000" w:sz="4" w:space="0"/>
            </w:tcBorders>
            <w:shd w:val="clear" w:color="auto" w:fill="auto"/>
            <w:vAlign w:val="center"/>
          </w:tcPr>
          <w:p w14:paraId="06667C49">
            <w:pPr>
              <w:jc w:val="center"/>
              <w:rPr>
                <w:rFonts w:hint="eastAsia" w:ascii="宋体" w:hAnsi="宋体" w:eastAsia="宋体" w:cs="宋体"/>
                <w:i w:val="0"/>
                <w:iCs w:val="0"/>
                <w:color w:val="000000"/>
                <w:sz w:val="18"/>
                <w:szCs w:val="18"/>
                <w:u w:val="none" w:color="auto"/>
              </w:rPr>
            </w:pPr>
          </w:p>
        </w:tc>
        <w:tc>
          <w:tcPr>
            <w:tcW w:w="210" w:type="pct"/>
            <w:vMerge w:val="continue"/>
            <w:tcBorders>
              <w:top w:val="single" w:color="000000" w:sz="4" w:space="0"/>
              <w:left w:val="single" w:color="000000" w:sz="4" w:space="0"/>
              <w:bottom w:val="nil"/>
              <w:right w:val="single" w:color="000000" w:sz="4" w:space="0"/>
            </w:tcBorders>
            <w:shd w:val="clear" w:color="auto" w:fill="auto"/>
            <w:vAlign w:val="center"/>
          </w:tcPr>
          <w:p w14:paraId="1E32AD08">
            <w:pPr>
              <w:jc w:val="center"/>
              <w:rPr>
                <w:rFonts w:hint="eastAsia" w:ascii="宋体" w:hAnsi="宋体" w:eastAsia="宋体" w:cs="宋体"/>
                <w:i w:val="0"/>
                <w:iCs w:val="0"/>
                <w:color w:val="000000"/>
                <w:sz w:val="18"/>
                <w:szCs w:val="18"/>
                <w:u w:val="none" w:color="auto"/>
              </w:rPr>
            </w:pPr>
          </w:p>
        </w:tc>
        <w:tc>
          <w:tcPr>
            <w:tcW w:w="348" w:type="pct"/>
            <w:vMerge w:val="continue"/>
            <w:tcBorders>
              <w:top w:val="single" w:color="000000" w:sz="4" w:space="0"/>
              <w:left w:val="single" w:color="000000" w:sz="4" w:space="0"/>
              <w:bottom w:val="nil"/>
              <w:right w:val="single" w:color="000000" w:sz="4" w:space="0"/>
            </w:tcBorders>
            <w:shd w:val="clear" w:color="auto" w:fill="auto"/>
            <w:vAlign w:val="center"/>
          </w:tcPr>
          <w:p w14:paraId="752BD4C9">
            <w:pPr>
              <w:jc w:val="center"/>
              <w:rPr>
                <w:rFonts w:hint="eastAsia" w:ascii="宋体" w:hAnsi="宋体" w:eastAsia="宋体" w:cs="宋体"/>
                <w:i w:val="0"/>
                <w:iCs w:val="0"/>
                <w:color w:val="000000"/>
                <w:sz w:val="18"/>
                <w:szCs w:val="18"/>
                <w:u w:val="none" w:color="auto"/>
              </w:rPr>
            </w:pPr>
          </w:p>
        </w:tc>
        <w:tc>
          <w:tcPr>
            <w:tcW w:w="348" w:type="pct"/>
            <w:tcBorders>
              <w:top w:val="single" w:color="000000" w:sz="4" w:space="0"/>
              <w:left w:val="single" w:color="000000" w:sz="4" w:space="0"/>
              <w:bottom w:val="nil"/>
              <w:right w:val="single" w:color="000000" w:sz="4" w:space="0"/>
            </w:tcBorders>
            <w:shd w:val="clear" w:color="auto" w:fill="auto"/>
            <w:vAlign w:val="center"/>
          </w:tcPr>
          <w:p w14:paraId="136AC6E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干部市外复查接待率</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0262877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1595018A">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等于</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21BFE8A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100</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005A9CD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100</w:t>
            </w:r>
          </w:p>
        </w:tc>
        <w:tc>
          <w:tcPr>
            <w:tcW w:w="353" w:type="pct"/>
            <w:tcBorders>
              <w:top w:val="single" w:color="000000" w:sz="4" w:space="0"/>
              <w:left w:val="single" w:color="000000" w:sz="4" w:space="0"/>
              <w:bottom w:val="nil"/>
              <w:right w:val="single" w:color="000000" w:sz="4" w:space="0"/>
            </w:tcBorders>
            <w:shd w:val="clear" w:color="auto" w:fill="auto"/>
            <w:vAlign w:val="center"/>
          </w:tcPr>
          <w:p w14:paraId="567A33A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5AAE7211">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350" w:type="pct"/>
            <w:tcBorders>
              <w:top w:val="single" w:color="000000" w:sz="4" w:space="0"/>
              <w:left w:val="single" w:color="000000" w:sz="4" w:space="0"/>
              <w:bottom w:val="nil"/>
              <w:right w:val="single" w:color="000000" w:sz="4" w:space="0"/>
            </w:tcBorders>
            <w:shd w:val="clear" w:color="auto" w:fill="auto"/>
            <w:vAlign w:val="center"/>
          </w:tcPr>
          <w:p w14:paraId="1E3F563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887" w:type="pct"/>
            <w:tcBorders>
              <w:top w:val="single" w:color="000000" w:sz="4" w:space="0"/>
              <w:left w:val="single" w:color="000000" w:sz="4" w:space="0"/>
              <w:bottom w:val="nil"/>
              <w:right w:val="single" w:color="000000" w:sz="4" w:space="0"/>
            </w:tcBorders>
            <w:shd w:val="clear" w:color="auto" w:fill="auto"/>
            <w:vAlign w:val="center"/>
          </w:tcPr>
          <w:p w14:paraId="69AE2330">
            <w:pPr>
              <w:jc w:val="center"/>
              <w:rPr>
                <w:rFonts w:hint="eastAsia" w:ascii="宋体" w:hAnsi="宋体" w:eastAsia="宋体" w:cs="宋体"/>
                <w:i w:val="0"/>
                <w:iCs w:val="0"/>
                <w:color w:val="000000"/>
                <w:sz w:val="18"/>
                <w:szCs w:val="18"/>
                <w:u w:val="none" w:color="auto"/>
              </w:rPr>
            </w:pPr>
          </w:p>
        </w:tc>
      </w:tr>
      <w:tr w14:paraId="2BB7C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3" w:type="pct"/>
            <w:vMerge w:val="continue"/>
            <w:tcBorders>
              <w:top w:val="single" w:color="000000" w:sz="4" w:space="0"/>
              <w:left w:val="single" w:color="000000" w:sz="4" w:space="0"/>
              <w:bottom w:val="nil"/>
              <w:right w:val="single" w:color="000000" w:sz="4" w:space="0"/>
            </w:tcBorders>
            <w:shd w:val="clear" w:color="auto" w:fill="auto"/>
            <w:vAlign w:val="center"/>
          </w:tcPr>
          <w:p w14:paraId="11B1E436">
            <w:pPr>
              <w:jc w:val="center"/>
              <w:rPr>
                <w:rFonts w:hint="eastAsia" w:ascii="宋体" w:hAnsi="宋体" w:eastAsia="宋体" w:cs="宋体"/>
                <w:i w:val="0"/>
                <w:iCs w:val="0"/>
                <w:color w:val="000000"/>
                <w:sz w:val="18"/>
                <w:szCs w:val="18"/>
                <w:u w:val="none" w:color="auto"/>
              </w:rPr>
            </w:pPr>
          </w:p>
        </w:tc>
        <w:tc>
          <w:tcPr>
            <w:tcW w:w="210" w:type="pct"/>
            <w:vMerge w:val="continue"/>
            <w:tcBorders>
              <w:top w:val="single" w:color="000000" w:sz="4" w:space="0"/>
              <w:left w:val="single" w:color="000000" w:sz="4" w:space="0"/>
              <w:bottom w:val="nil"/>
              <w:right w:val="single" w:color="000000" w:sz="4" w:space="0"/>
            </w:tcBorders>
            <w:shd w:val="clear" w:color="auto" w:fill="auto"/>
            <w:vAlign w:val="center"/>
          </w:tcPr>
          <w:p w14:paraId="28C701BD">
            <w:pPr>
              <w:jc w:val="center"/>
              <w:rPr>
                <w:rFonts w:hint="eastAsia" w:ascii="宋体" w:hAnsi="宋体" w:eastAsia="宋体" w:cs="宋体"/>
                <w:i w:val="0"/>
                <w:iCs w:val="0"/>
                <w:color w:val="000000"/>
                <w:sz w:val="18"/>
                <w:szCs w:val="18"/>
                <w:u w:val="none" w:color="auto"/>
              </w:rPr>
            </w:pPr>
          </w:p>
        </w:tc>
        <w:tc>
          <w:tcPr>
            <w:tcW w:w="348" w:type="pct"/>
            <w:vMerge w:val="continue"/>
            <w:tcBorders>
              <w:top w:val="single" w:color="000000" w:sz="4" w:space="0"/>
              <w:left w:val="single" w:color="000000" w:sz="4" w:space="0"/>
              <w:bottom w:val="nil"/>
              <w:right w:val="single" w:color="000000" w:sz="4" w:space="0"/>
            </w:tcBorders>
            <w:shd w:val="clear" w:color="auto" w:fill="auto"/>
            <w:vAlign w:val="center"/>
          </w:tcPr>
          <w:p w14:paraId="66B42F8B">
            <w:pPr>
              <w:jc w:val="center"/>
              <w:rPr>
                <w:rFonts w:hint="eastAsia" w:ascii="宋体" w:hAnsi="宋体" w:eastAsia="宋体" w:cs="宋体"/>
                <w:i w:val="0"/>
                <w:iCs w:val="0"/>
                <w:color w:val="000000"/>
                <w:sz w:val="18"/>
                <w:szCs w:val="18"/>
                <w:u w:val="none" w:color="auto"/>
              </w:rPr>
            </w:pPr>
          </w:p>
        </w:tc>
        <w:tc>
          <w:tcPr>
            <w:tcW w:w="348" w:type="pct"/>
            <w:tcBorders>
              <w:top w:val="single" w:color="000000" w:sz="4" w:space="0"/>
              <w:left w:val="single" w:color="000000" w:sz="4" w:space="0"/>
              <w:bottom w:val="nil"/>
              <w:right w:val="single" w:color="000000" w:sz="4" w:space="0"/>
            </w:tcBorders>
            <w:shd w:val="clear" w:color="auto" w:fill="auto"/>
            <w:vAlign w:val="center"/>
          </w:tcPr>
          <w:p w14:paraId="56ABE61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重大活动医疗保健任务完成率</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5BF89AA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7E58668A">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等于</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63A175C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100</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7B105DB6">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100</w:t>
            </w:r>
          </w:p>
        </w:tc>
        <w:tc>
          <w:tcPr>
            <w:tcW w:w="353" w:type="pct"/>
            <w:tcBorders>
              <w:top w:val="single" w:color="000000" w:sz="4" w:space="0"/>
              <w:left w:val="single" w:color="000000" w:sz="4" w:space="0"/>
              <w:bottom w:val="nil"/>
              <w:right w:val="single" w:color="000000" w:sz="4" w:space="0"/>
            </w:tcBorders>
            <w:shd w:val="clear" w:color="auto" w:fill="auto"/>
            <w:vAlign w:val="center"/>
          </w:tcPr>
          <w:p w14:paraId="751DFDC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29BC5296">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350" w:type="pct"/>
            <w:tcBorders>
              <w:top w:val="single" w:color="000000" w:sz="4" w:space="0"/>
              <w:left w:val="single" w:color="000000" w:sz="4" w:space="0"/>
              <w:bottom w:val="nil"/>
              <w:right w:val="single" w:color="000000" w:sz="4" w:space="0"/>
            </w:tcBorders>
            <w:shd w:val="clear" w:color="auto" w:fill="auto"/>
            <w:vAlign w:val="center"/>
          </w:tcPr>
          <w:p w14:paraId="204A660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887" w:type="pct"/>
            <w:tcBorders>
              <w:top w:val="single" w:color="000000" w:sz="4" w:space="0"/>
              <w:left w:val="single" w:color="000000" w:sz="4" w:space="0"/>
              <w:bottom w:val="nil"/>
              <w:right w:val="single" w:color="000000" w:sz="4" w:space="0"/>
            </w:tcBorders>
            <w:shd w:val="clear" w:color="auto" w:fill="auto"/>
            <w:vAlign w:val="center"/>
          </w:tcPr>
          <w:p w14:paraId="3B0C0C72">
            <w:pPr>
              <w:jc w:val="center"/>
              <w:rPr>
                <w:rFonts w:hint="eastAsia" w:ascii="宋体" w:hAnsi="宋体" w:eastAsia="宋体" w:cs="宋体"/>
                <w:i w:val="0"/>
                <w:iCs w:val="0"/>
                <w:color w:val="000000"/>
                <w:sz w:val="18"/>
                <w:szCs w:val="18"/>
                <w:u w:val="none" w:color="auto"/>
              </w:rPr>
            </w:pPr>
          </w:p>
        </w:tc>
      </w:tr>
      <w:tr w14:paraId="4C35C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3" w:type="pct"/>
            <w:vMerge w:val="continue"/>
            <w:tcBorders>
              <w:top w:val="single" w:color="000000" w:sz="4" w:space="0"/>
              <w:left w:val="single" w:color="000000" w:sz="4" w:space="0"/>
              <w:bottom w:val="nil"/>
              <w:right w:val="single" w:color="000000" w:sz="4" w:space="0"/>
            </w:tcBorders>
            <w:shd w:val="clear" w:color="auto" w:fill="auto"/>
            <w:vAlign w:val="center"/>
          </w:tcPr>
          <w:p w14:paraId="592E58F7">
            <w:pPr>
              <w:jc w:val="center"/>
              <w:rPr>
                <w:rFonts w:hint="eastAsia" w:ascii="宋体" w:hAnsi="宋体" w:eastAsia="宋体" w:cs="宋体"/>
                <w:i w:val="0"/>
                <w:iCs w:val="0"/>
                <w:color w:val="000000"/>
                <w:sz w:val="18"/>
                <w:szCs w:val="18"/>
                <w:u w:val="none" w:color="auto"/>
              </w:rPr>
            </w:pPr>
          </w:p>
        </w:tc>
        <w:tc>
          <w:tcPr>
            <w:tcW w:w="210" w:type="pct"/>
            <w:vMerge w:val="continue"/>
            <w:tcBorders>
              <w:top w:val="single" w:color="000000" w:sz="4" w:space="0"/>
              <w:left w:val="single" w:color="000000" w:sz="4" w:space="0"/>
              <w:bottom w:val="nil"/>
              <w:right w:val="single" w:color="000000" w:sz="4" w:space="0"/>
            </w:tcBorders>
            <w:shd w:val="clear" w:color="auto" w:fill="auto"/>
            <w:vAlign w:val="center"/>
          </w:tcPr>
          <w:p w14:paraId="222B6334">
            <w:pPr>
              <w:jc w:val="center"/>
              <w:rPr>
                <w:rFonts w:hint="eastAsia" w:ascii="宋体" w:hAnsi="宋体" w:eastAsia="宋体" w:cs="宋体"/>
                <w:i w:val="0"/>
                <w:iCs w:val="0"/>
                <w:color w:val="000000"/>
                <w:sz w:val="18"/>
                <w:szCs w:val="18"/>
                <w:u w:val="none" w:color="auto"/>
              </w:rPr>
            </w:pPr>
          </w:p>
        </w:tc>
        <w:tc>
          <w:tcPr>
            <w:tcW w:w="348" w:type="pct"/>
            <w:vMerge w:val="restart"/>
            <w:tcBorders>
              <w:top w:val="single" w:color="000000" w:sz="4" w:space="0"/>
              <w:left w:val="single" w:color="000000" w:sz="4" w:space="0"/>
              <w:bottom w:val="nil"/>
              <w:right w:val="single" w:color="000000" w:sz="4" w:space="0"/>
            </w:tcBorders>
            <w:shd w:val="clear" w:color="auto" w:fill="auto"/>
            <w:vAlign w:val="center"/>
          </w:tcPr>
          <w:p w14:paraId="168A295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时效指标</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4BA00E5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整体工作完成时间</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019B723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定性</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0E332282">
            <w:pPr>
              <w:jc w:val="center"/>
              <w:rPr>
                <w:rFonts w:hint="eastAsia" w:ascii="宋体" w:hAnsi="宋体" w:eastAsia="宋体" w:cs="宋体"/>
                <w:i w:val="0"/>
                <w:iCs w:val="0"/>
                <w:color w:val="000000"/>
                <w:sz w:val="18"/>
                <w:szCs w:val="18"/>
                <w:u w:val="none" w:color="auto"/>
              </w:rPr>
            </w:pPr>
          </w:p>
        </w:tc>
        <w:tc>
          <w:tcPr>
            <w:tcW w:w="351" w:type="pct"/>
            <w:tcBorders>
              <w:top w:val="single" w:color="000000" w:sz="4" w:space="0"/>
              <w:left w:val="single" w:color="000000" w:sz="4" w:space="0"/>
              <w:bottom w:val="nil"/>
              <w:right w:val="single" w:color="000000" w:sz="4" w:space="0"/>
            </w:tcBorders>
            <w:shd w:val="clear" w:color="auto" w:fill="auto"/>
            <w:vAlign w:val="center"/>
          </w:tcPr>
          <w:p w14:paraId="4629AF9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2025年12月前</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7EF28561">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2025年12月前</w:t>
            </w:r>
          </w:p>
        </w:tc>
        <w:tc>
          <w:tcPr>
            <w:tcW w:w="353" w:type="pct"/>
            <w:tcBorders>
              <w:top w:val="single" w:color="000000" w:sz="4" w:space="0"/>
              <w:left w:val="single" w:color="000000" w:sz="4" w:space="0"/>
              <w:bottom w:val="nil"/>
              <w:right w:val="single" w:color="000000" w:sz="4" w:space="0"/>
            </w:tcBorders>
            <w:shd w:val="clear" w:color="auto" w:fill="auto"/>
            <w:vAlign w:val="center"/>
          </w:tcPr>
          <w:p w14:paraId="11DB246A">
            <w:pPr>
              <w:jc w:val="center"/>
              <w:rPr>
                <w:rFonts w:hint="eastAsia" w:ascii="宋体" w:hAnsi="宋体" w:eastAsia="宋体" w:cs="宋体"/>
                <w:i w:val="0"/>
                <w:iCs w:val="0"/>
                <w:color w:val="000000"/>
                <w:sz w:val="18"/>
                <w:szCs w:val="18"/>
                <w:u w:val="none" w:color="auto"/>
              </w:rPr>
            </w:pPr>
          </w:p>
        </w:tc>
        <w:tc>
          <w:tcPr>
            <w:tcW w:w="348" w:type="pct"/>
            <w:tcBorders>
              <w:top w:val="single" w:color="000000" w:sz="4" w:space="0"/>
              <w:left w:val="single" w:color="000000" w:sz="4" w:space="0"/>
              <w:bottom w:val="nil"/>
              <w:right w:val="single" w:color="000000" w:sz="4" w:space="0"/>
            </w:tcBorders>
            <w:shd w:val="clear" w:color="auto" w:fill="auto"/>
            <w:vAlign w:val="center"/>
          </w:tcPr>
          <w:p w14:paraId="3432FDD1">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350" w:type="pct"/>
            <w:tcBorders>
              <w:top w:val="single" w:color="000000" w:sz="4" w:space="0"/>
              <w:left w:val="single" w:color="000000" w:sz="4" w:space="0"/>
              <w:bottom w:val="nil"/>
              <w:right w:val="single" w:color="000000" w:sz="4" w:space="0"/>
            </w:tcBorders>
            <w:shd w:val="clear" w:color="auto" w:fill="auto"/>
            <w:vAlign w:val="center"/>
          </w:tcPr>
          <w:p w14:paraId="2A38633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887" w:type="pct"/>
            <w:tcBorders>
              <w:top w:val="single" w:color="000000" w:sz="4" w:space="0"/>
              <w:left w:val="single" w:color="000000" w:sz="4" w:space="0"/>
              <w:bottom w:val="nil"/>
              <w:right w:val="single" w:color="000000" w:sz="4" w:space="0"/>
            </w:tcBorders>
            <w:shd w:val="clear" w:color="auto" w:fill="auto"/>
            <w:vAlign w:val="center"/>
          </w:tcPr>
          <w:p w14:paraId="1B311736">
            <w:pPr>
              <w:jc w:val="center"/>
              <w:rPr>
                <w:rFonts w:hint="eastAsia" w:ascii="宋体" w:hAnsi="宋体" w:eastAsia="宋体" w:cs="宋体"/>
                <w:i w:val="0"/>
                <w:iCs w:val="0"/>
                <w:color w:val="000000"/>
                <w:sz w:val="18"/>
                <w:szCs w:val="18"/>
                <w:u w:val="none" w:color="auto"/>
              </w:rPr>
            </w:pPr>
          </w:p>
        </w:tc>
      </w:tr>
      <w:tr w14:paraId="22E8F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3" w:type="pct"/>
            <w:vMerge w:val="continue"/>
            <w:tcBorders>
              <w:top w:val="single" w:color="000000" w:sz="4" w:space="0"/>
              <w:left w:val="single" w:color="000000" w:sz="4" w:space="0"/>
              <w:bottom w:val="nil"/>
              <w:right w:val="single" w:color="000000" w:sz="4" w:space="0"/>
            </w:tcBorders>
            <w:shd w:val="clear" w:color="auto" w:fill="auto"/>
            <w:vAlign w:val="center"/>
          </w:tcPr>
          <w:p w14:paraId="5A4F019F">
            <w:pPr>
              <w:jc w:val="center"/>
              <w:rPr>
                <w:rFonts w:hint="eastAsia" w:ascii="宋体" w:hAnsi="宋体" w:eastAsia="宋体" w:cs="宋体"/>
                <w:i w:val="0"/>
                <w:iCs w:val="0"/>
                <w:color w:val="000000"/>
                <w:sz w:val="18"/>
                <w:szCs w:val="18"/>
                <w:u w:val="none" w:color="auto"/>
              </w:rPr>
            </w:pPr>
          </w:p>
        </w:tc>
        <w:tc>
          <w:tcPr>
            <w:tcW w:w="210" w:type="pct"/>
            <w:vMerge w:val="continue"/>
            <w:tcBorders>
              <w:top w:val="single" w:color="000000" w:sz="4" w:space="0"/>
              <w:left w:val="single" w:color="000000" w:sz="4" w:space="0"/>
              <w:bottom w:val="nil"/>
              <w:right w:val="single" w:color="000000" w:sz="4" w:space="0"/>
            </w:tcBorders>
            <w:shd w:val="clear" w:color="auto" w:fill="auto"/>
            <w:vAlign w:val="center"/>
          </w:tcPr>
          <w:p w14:paraId="55408821">
            <w:pPr>
              <w:jc w:val="center"/>
              <w:rPr>
                <w:rFonts w:hint="eastAsia" w:ascii="宋体" w:hAnsi="宋体" w:eastAsia="宋体" w:cs="宋体"/>
                <w:i w:val="0"/>
                <w:iCs w:val="0"/>
                <w:color w:val="000000"/>
                <w:sz w:val="18"/>
                <w:szCs w:val="18"/>
                <w:u w:val="none" w:color="auto"/>
              </w:rPr>
            </w:pPr>
          </w:p>
        </w:tc>
        <w:tc>
          <w:tcPr>
            <w:tcW w:w="348" w:type="pct"/>
            <w:vMerge w:val="continue"/>
            <w:tcBorders>
              <w:top w:val="single" w:color="000000" w:sz="4" w:space="0"/>
              <w:left w:val="single" w:color="000000" w:sz="4" w:space="0"/>
              <w:bottom w:val="nil"/>
              <w:right w:val="single" w:color="000000" w:sz="4" w:space="0"/>
            </w:tcBorders>
            <w:shd w:val="clear" w:color="auto" w:fill="auto"/>
            <w:vAlign w:val="center"/>
          </w:tcPr>
          <w:p w14:paraId="2F9D2F3D">
            <w:pPr>
              <w:jc w:val="center"/>
              <w:rPr>
                <w:rFonts w:hint="eastAsia" w:ascii="宋体" w:hAnsi="宋体" w:eastAsia="宋体" w:cs="宋体"/>
                <w:i w:val="0"/>
                <w:iCs w:val="0"/>
                <w:color w:val="000000"/>
                <w:sz w:val="18"/>
                <w:szCs w:val="18"/>
                <w:u w:val="none" w:color="auto"/>
              </w:rPr>
            </w:pPr>
          </w:p>
        </w:tc>
        <w:tc>
          <w:tcPr>
            <w:tcW w:w="348" w:type="pct"/>
            <w:tcBorders>
              <w:top w:val="single" w:color="000000" w:sz="4" w:space="0"/>
              <w:left w:val="single" w:color="000000" w:sz="4" w:space="0"/>
              <w:bottom w:val="nil"/>
              <w:right w:val="single" w:color="000000" w:sz="4" w:space="0"/>
            </w:tcBorders>
            <w:shd w:val="clear" w:color="auto" w:fill="auto"/>
            <w:vAlign w:val="center"/>
          </w:tcPr>
          <w:p w14:paraId="0DB7E8C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资金拨付及时率</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37C6617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5F4F020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等于</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74915CA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100</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35CF79D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100</w:t>
            </w:r>
          </w:p>
        </w:tc>
        <w:tc>
          <w:tcPr>
            <w:tcW w:w="353" w:type="pct"/>
            <w:tcBorders>
              <w:top w:val="single" w:color="000000" w:sz="4" w:space="0"/>
              <w:left w:val="single" w:color="000000" w:sz="4" w:space="0"/>
              <w:bottom w:val="nil"/>
              <w:right w:val="single" w:color="000000" w:sz="4" w:space="0"/>
            </w:tcBorders>
            <w:shd w:val="clear" w:color="auto" w:fill="auto"/>
            <w:vAlign w:val="center"/>
          </w:tcPr>
          <w:p w14:paraId="75D3A92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198F1A9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350" w:type="pct"/>
            <w:tcBorders>
              <w:top w:val="single" w:color="000000" w:sz="4" w:space="0"/>
              <w:left w:val="single" w:color="000000" w:sz="4" w:space="0"/>
              <w:bottom w:val="nil"/>
              <w:right w:val="single" w:color="000000" w:sz="4" w:space="0"/>
            </w:tcBorders>
            <w:shd w:val="clear" w:color="auto" w:fill="auto"/>
            <w:vAlign w:val="center"/>
          </w:tcPr>
          <w:p w14:paraId="0D379E06">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887" w:type="pct"/>
            <w:tcBorders>
              <w:top w:val="single" w:color="000000" w:sz="4" w:space="0"/>
              <w:left w:val="single" w:color="000000" w:sz="4" w:space="0"/>
              <w:bottom w:val="nil"/>
              <w:right w:val="single" w:color="000000" w:sz="4" w:space="0"/>
            </w:tcBorders>
            <w:shd w:val="clear" w:color="auto" w:fill="auto"/>
            <w:vAlign w:val="center"/>
          </w:tcPr>
          <w:p w14:paraId="503942EA">
            <w:pPr>
              <w:jc w:val="center"/>
              <w:rPr>
                <w:rFonts w:hint="eastAsia" w:ascii="宋体" w:hAnsi="宋体" w:eastAsia="宋体" w:cs="宋体"/>
                <w:i w:val="0"/>
                <w:iCs w:val="0"/>
                <w:color w:val="000000"/>
                <w:sz w:val="18"/>
                <w:szCs w:val="18"/>
                <w:u w:val="none" w:color="auto"/>
              </w:rPr>
            </w:pPr>
          </w:p>
        </w:tc>
      </w:tr>
      <w:tr w14:paraId="12442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3" w:type="pct"/>
            <w:vMerge w:val="continue"/>
            <w:tcBorders>
              <w:top w:val="single" w:color="000000" w:sz="4" w:space="0"/>
              <w:left w:val="single" w:color="000000" w:sz="4" w:space="0"/>
              <w:bottom w:val="nil"/>
              <w:right w:val="single" w:color="000000" w:sz="4" w:space="0"/>
            </w:tcBorders>
            <w:shd w:val="clear" w:color="auto" w:fill="auto"/>
            <w:vAlign w:val="center"/>
          </w:tcPr>
          <w:p w14:paraId="31644559">
            <w:pPr>
              <w:jc w:val="center"/>
              <w:rPr>
                <w:rFonts w:hint="eastAsia" w:ascii="宋体" w:hAnsi="宋体" w:eastAsia="宋体" w:cs="宋体"/>
                <w:i w:val="0"/>
                <w:iCs w:val="0"/>
                <w:color w:val="000000"/>
                <w:sz w:val="18"/>
                <w:szCs w:val="18"/>
                <w:u w:val="none" w:color="auto"/>
              </w:rPr>
            </w:pPr>
          </w:p>
        </w:tc>
        <w:tc>
          <w:tcPr>
            <w:tcW w:w="210" w:type="pct"/>
            <w:vMerge w:val="continue"/>
            <w:tcBorders>
              <w:top w:val="single" w:color="000000" w:sz="4" w:space="0"/>
              <w:left w:val="single" w:color="000000" w:sz="4" w:space="0"/>
              <w:bottom w:val="nil"/>
              <w:right w:val="single" w:color="000000" w:sz="4" w:space="0"/>
            </w:tcBorders>
            <w:shd w:val="clear" w:color="auto" w:fill="auto"/>
            <w:vAlign w:val="center"/>
          </w:tcPr>
          <w:p w14:paraId="64DBA3F0">
            <w:pPr>
              <w:jc w:val="center"/>
              <w:rPr>
                <w:rFonts w:hint="eastAsia" w:ascii="宋体" w:hAnsi="宋体" w:eastAsia="宋体" w:cs="宋体"/>
                <w:i w:val="0"/>
                <w:iCs w:val="0"/>
                <w:color w:val="000000"/>
                <w:sz w:val="18"/>
                <w:szCs w:val="18"/>
                <w:u w:val="none" w:color="auto"/>
              </w:rPr>
            </w:pPr>
          </w:p>
        </w:tc>
        <w:tc>
          <w:tcPr>
            <w:tcW w:w="348" w:type="pct"/>
            <w:vMerge w:val="restart"/>
            <w:tcBorders>
              <w:top w:val="single" w:color="000000" w:sz="4" w:space="0"/>
              <w:left w:val="single" w:color="000000" w:sz="4" w:space="0"/>
              <w:bottom w:val="nil"/>
              <w:right w:val="single" w:color="000000" w:sz="4" w:space="0"/>
            </w:tcBorders>
            <w:shd w:val="clear" w:color="auto" w:fill="auto"/>
            <w:vAlign w:val="center"/>
          </w:tcPr>
          <w:p w14:paraId="5110CBB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成本指标</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760B115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人均干部保健体检成本</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6B51129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反向</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5F24ED6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小于等于</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14DCF77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3200</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00C187CA">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2495</w:t>
            </w:r>
          </w:p>
        </w:tc>
        <w:tc>
          <w:tcPr>
            <w:tcW w:w="353" w:type="pct"/>
            <w:tcBorders>
              <w:top w:val="single" w:color="000000" w:sz="4" w:space="0"/>
              <w:left w:val="single" w:color="000000" w:sz="4" w:space="0"/>
              <w:bottom w:val="nil"/>
              <w:right w:val="single" w:color="000000" w:sz="4" w:space="0"/>
            </w:tcBorders>
            <w:shd w:val="clear" w:color="auto" w:fill="auto"/>
            <w:vAlign w:val="center"/>
          </w:tcPr>
          <w:p w14:paraId="3463FB2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元/人</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0862C56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4</w:t>
            </w:r>
          </w:p>
        </w:tc>
        <w:tc>
          <w:tcPr>
            <w:tcW w:w="350" w:type="pct"/>
            <w:tcBorders>
              <w:top w:val="single" w:color="000000" w:sz="4" w:space="0"/>
              <w:left w:val="single" w:color="000000" w:sz="4" w:space="0"/>
              <w:bottom w:val="nil"/>
              <w:right w:val="single" w:color="000000" w:sz="4" w:space="0"/>
            </w:tcBorders>
            <w:shd w:val="clear" w:color="auto" w:fill="auto"/>
            <w:vAlign w:val="center"/>
          </w:tcPr>
          <w:p w14:paraId="1AFF9091">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4</w:t>
            </w:r>
          </w:p>
        </w:tc>
        <w:tc>
          <w:tcPr>
            <w:tcW w:w="887" w:type="pct"/>
            <w:tcBorders>
              <w:top w:val="single" w:color="000000" w:sz="4" w:space="0"/>
              <w:left w:val="single" w:color="000000" w:sz="4" w:space="0"/>
              <w:bottom w:val="nil"/>
              <w:right w:val="single" w:color="000000" w:sz="4" w:space="0"/>
            </w:tcBorders>
            <w:shd w:val="clear" w:color="auto" w:fill="auto"/>
            <w:vAlign w:val="center"/>
          </w:tcPr>
          <w:p w14:paraId="47B9E5A2">
            <w:pPr>
              <w:jc w:val="center"/>
              <w:rPr>
                <w:rFonts w:hint="eastAsia" w:ascii="宋体" w:hAnsi="宋体" w:eastAsia="宋体" w:cs="宋体"/>
                <w:i w:val="0"/>
                <w:iCs w:val="0"/>
                <w:color w:val="000000"/>
                <w:sz w:val="18"/>
                <w:szCs w:val="18"/>
                <w:u w:val="none" w:color="auto"/>
              </w:rPr>
            </w:pPr>
          </w:p>
        </w:tc>
      </w:tr>
      <w:tr w14:paraId="4AEF3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3" w:type="pct"/>
            <w:vMerge w:val="continue"/>
            <w:tcBorders>
              <w:top w:val="single" w:color="000000" w:sz="4" w:space="0"/>
              <w:left w:val="single" w:color="000000" w:sz="4" w:space="0"/>
              <w:bottom w:val="nil"/>
              <w:right w:val="single" w:color="000000" w:sz="4" w:space="0"/>
            </w:tcBorders>
            <w:shd w:val="clear" w:color="auto" w:fill="auto"/>
            <w:vAlign w:val="center"/>
          </w:tcPr>
          <w:p w14:paraId="6FA10EC1">
            <w:pPr>
              <w:jc w:val="center"/>
              <w:rPr>
                <w:rFonts w:hint="eastAsia" w:ascii="宋体" w:hAnsi="宋体" w:eastAsia="宋体" w:cs="宋体"/>
                <w:i w:val="0"/>
                <w:iCs w:val="0"/>
                <w:color w:val="000000"/>
                <w:sz w:val="18"/>
                <w:szCs w:val="18"/>
                <w:u w:val="none" w:color="auto"/>
              </w:rPr>
            </w:pPr>
          </w:p>
        </w:tc>
        <w:tc>
          <w:tcPr>
            <w:tcW w:w="210" w:type="pct"/>
            <w:vMerge w:val="continue"/>
            <w:tcBorders>
              <w:top w:val="single" w:color="000000" w:sz="4" w:space="0"/>
              <w:left w:val="single" w:color="000000" w:sz="4" w:space="0"/>
              <w:bottom w:val="nil"/>
              <w:right w:val="single" w:color="000000" w:sz="4" w:space="0"/>
            </w:tcBorders>
            <w:shd w:val="clear" w:color="auto" w:fill="auto"/>
            <w:vAlign w:val="center"/>
          </w:tcPr>
          <w:p w14:paraId="6212978B">
            <w:pPr>
              <w:jc w:val="center"/>
              <w:rPr>
                <w:rFonts w:hint="eastAsia" w:ascii="宋体" w:hAnsi="宋体" w:eastAsia="宋体" w:cs="宋体"/>
                <w:i w:val="0"/>
                <w:iCs w:val="0"/>
                <w:color w:val="000000"/>
                <w:sz w:val="18"/>
                <w:szCs w:val="18"/>
                <w:u w:val="none" w:color="auto"/>
              </w:rPr>
            </w:pPr>
          </w:p>
        </w:tc>
        <w:tc>
          <w:tcPr>
            <w:tcW w:w="348" w:type="pct"/>
            <w:vMerge w:val="continue"/>
            <w:tcBorders>
              <w:top w:val="single" w:color="000000" w:sz="4" w:space="0"/>
              <w:left w:val="single" w:color="000000" w:sz="4" w:space="0"/>
              <w:bottom w:val="nil"/>
              <w:right w:val="single" w:color="000000" w:sz="4" w:space="0"/>
            </w:tcBorders>
            <w:shd w:val="clear" w:color="auto" w:fill="auto"/>
            <w:vAlign w:val="center"/>
          </w:tcPr>
          <w:p w14:paraId="0EF1F9B6">
            <w:pPr>
              <w:jc w:val="center"/>
              <w:rPr>
                <w:rFonts w:hint="eastAsia" w:ascii="宋体" w:hAnsi="宋体" w:eastAsia="宋体" w:cs="宋体"/>
                <w:i w:val="0"/>
                <w:iCs w:val="0"/>
                <w:color w:val="000000"/>
                <w:sz w:val="18"/>
                <w:szCs w:val="18"/>
                <w:u w:val="none" w:color="auto"/>
              </w:rPr>
            </w:pPr>
          </w:p>
        </w:tc>
        <w:tc>
          <w:tcPr>
            <w:tcW w:w="348" w:type="pct"/>
            <w:tcBorders>
              <w:top w:val="single" w:color="000000" w:sz="4" w:space="0"/>
              <w:left w:val="single" w:color="000000" w:sz="4" w:space="0"/>
              <w:bottom w:val="nil"/>
              <w:right w:val="single" w:color="000000" w:sz="4" w:space="0"/>
            </w:tcBorders>
            <w:shd w:val="clear" w:color="auto" w:fill="auto"/>
            <w:vAlign w:val="center"/>
          </w:tcPr>
          <w:p w14:paraId="7D6CA1A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保健药箱配置成本</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3283357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反向</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221EE65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小于等于</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1EC2C1D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300</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6B1D24D1">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296.64</w:t>
            </w:r>
          </w:p>
        </w:tc>
        <w:tc>
          <w:tcPr>
            <w:tcW w:w="353" w:type="pct"/>
            <w:tcBorders>
              <w:top w:val="single" w:color="000000" w:sz="4" w:space="0"/>
              <w:left w:val="single" w:color="000000" w:sz="4" w:space="0"/>
              <w:bottom w:val="nil"/>
              <w:right w:val="single" w:color="000000" w:sz="4" w:space="0"/>
            </w:tcBorders>
            <w:shd w:val="clear" w:color="auto" w:fill="auto"/>
            <w:vAlign w:val="center"/>
          </w:tcPr>
          <w:p w14:paraId="2ADB376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元/份</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3508950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3</w:t>
            </w:r>
          </w:p>
        </w:tc>
        <w:tc>
          <w:tcPr>
            <w:tcW w:w="350" w:type="pct"/>
            <w:tcBorders>
              <w:top w:val="single" w:color="000000" w:sz="4" w:space="0"/>
              <w:left w:val="single" w:color="000000" w:sz="4" w:space="0"/>
              <w:bottom w:val="nil"/>
              <w:right w:val="single" w:color="000000" w:sz="4" w:space="0"/>
            </w:tcBorders>
            <w:shd w:val="clear" w:color="auto" w:fill="auto"/>
            <w:vAlign w:val="center"/>
          </w:tcPr>
          <w:p w14:paraId="20A6023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3</w:t>
            </w:r>
          </w:p>
        </w:tc>
        <w:tc>
          <w:tcPr>
            <w:tcW w:w="887" w:type="pct"/>
            <w:tcBorders>
              <w:top w:val="single" w:color="000000" w:sz="4" w:space="0"/>
              <w:left w:val="single" w:color="000000" w:sz="4" w:space="0"/>
              <w:bottom w:val="nil"/>
              <w:right w:val="single" w:color="000000" w:sz="4" w:space="0"/>
            </w:tcBorders>
            <w:shd w:val="clear" w:color="auto" w:fill="auto"/>
            <w:vAlign w:val="center"/>
          </w:tcPr>
          <w:p w14:paraId="062CB8C9">
            <w:pPr>
              <w:jc w:val="center"/>
              <w:rPr>
                <w:rFonts w:hint="eastAsia" w:ascii="宋体" w:hAnsi="宋体" w:eastAsia="宋体" w:cs="宋体"/>
                <w:i w:val="0"/>
                <w:iCs w:val="0"/>
                <w:color w:val="000000"/>
                <w:sz w:val="18"/>
                <w:szCs w:val="18"/>
                <w:u w:val="none" w:color="auto"/>
              </w:rPr>
            </w:pPr>
          </w:p>
        </w:tc>
      </w:tr>
      <w:tr w14:paraId="3772D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3" w:type="pct"/>
            <w:vMerge w:val="continue"/>
            <w:tcBorders>
              <w:top w:val="single" w:color="000000" w:sz="4" w:space="0"/>
              <w:left w:val="single" w:color="000000" w:sz="4" w:space="0"/>
              <w:bottom w:val="nil"/>
              <w:right w:val="single" w:color="000000" w:sz="4" w:space="0"/>
            </w:tcBorders>
            <w:shd w:val="clear" w:color="auto" w:fill="auto"/>
            <w:vAlign w:val="center"/>
          </w:tcPr>
          <w:p w14:paraId="2857A540">
            <w:pPr>
              <w:jc w:val="center"/>
              <w:rPr>
                <w:rFonts w:hint="eastAsia" w:ascii="宋体" w:hAnsi="宋体" w:eastAsia="宋体" w:cs="宋体"/>
                <w:i w:val="0"/>
                <w:iCs w:val="0"/>
                <w:color w:val="000000"/>
                <w:sz w:val="18"/>
                <w:szCs w:val="18"/>
                <w:u w:val="none" w:color="auto"/>
              </w:rPr>
            </w:pPr>
          </w:p>
        </w:tc>
        <w:tc>
          <w:tcPr>
            <w:tcW w:w="210" w:type="pct"/>
            <w:vMerge w:val="continue"/>
            <w:tcBorders>
              <w:top w:val="single" w:color="000000" w:sz="4" w:space="0"/>
              <w:left w:val="single" w:color="000000" w:sz="4" w:space="0"/>
              <w:bottom w:val="nil"/>
              <w:right w:val="single" w:color="000000" w:sz="4" w:space="0"/>
            </w:tcBorders>
            <w:shd w:val="clear" w:color="auto" w:fill="auto"/>
            <w:vAlign w:val="center"/>
          </w:tcPr>
          <w:p w14:paraId="73F7E438">
            <w:pPr>
              <w:jc w:val="center"/>
              <w:rPr>
                <w:rFonts w:hint="eastAsia" w:ascii="宋体" w:hAnsi="宋体" w:eastAsia="宋体" w:cs="宋体"/>
                <w:i w:val="0"/>
                <w:iCs w:val="0"/>
                <w:color w:val="000000"/>
                <w:sz w:val="18"/>
                <w:szCs w:val="18"/>
                <w:u w:val="none" w:color="auto"/>
              </w:rPr>
            </w:pPr>
          </w:p>
        </w:tc>
        <w:tc>
          <w:tcPr>
            <w:tcW w:w="348" w:type="pct"/>
            <w:vMerge w:val="continue"/>
            <w:tcBorders>
              <w:top w:val="single" w:color="000000" w:sz="4" w:space="0"/>
              <w:left w:val="single" w:color="000000" w:sz="4" w:space="0"/>
              <w:bottom w:val="nil"/>
              <w:right w:val="single" w:color="000000" w:sz="4" w:space="0"/>
            </w:tcBorders>
            <w:shd w:val="clear" w:color="auto" w:fill="auto"/>
            <w:vAlign w:val="center"/>
          </w:tcPr>
          <w:p w14:paraId="6DA63667">
            <w:pPr>
              <w:jc w:val="center"/>
              <w:rPr>
                <w:rFonts w:hint="eastAsia" w:ascii="宋体" w:hAnsi="宋体" w:eastAsia="宋体" w:cs="宋体"/>
                <w:i w:val="0"/>
                <w:iCs w:val="0"/>
                <w:color w:val="000000"/>
                <w:sz w:val="18"/>
                <w:szCs w:val="18"/>
                <w:u w:val="none" w:color="auto"/>
              </w:rPr>
            </w:pPr>
          </w:p>
        </w:tc>
        <w:tc>
          <w:tcPr>
            <w:tcW w:w="348" w:type="pct"/>
            <w:tcBorders>
              <w:top w:val="single" w:color="000000" w:sz="4" w:space="0"/>
              <w:left w:val="single" w:color="000000" w:sz="4" w:space="0"/>
              <w:bottom w:val="nil"/>
              <w:right w:val="single" w:color="000000" w:sz="4" w:space="0"/>
            </w:tcBorders>
            <w:shd w:val="clear" w:color="auto" w:fill="auto"/>
            <w:vAlign w:val="center"/>
          </w:tcPr>
          <w:p w14:paraId="7264A7E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人均市外复查陪同出差成本</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10E3F75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反向</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1881988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小于等于</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74C286C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1500</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26ADA65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0</w:t>
            </w:r>
          </w:p>
        </w:tc>
        <w:tc>
          <w:tcPr>
            <w:tcW w:w="353" w:type="pct"/>
            <w:tcBorders>
              <w:top w:val="single" w:color="000000" w:sz="4" w:space="0"/>
              <w:left w:val="single" w:color="000000" w:sz="4" w:space="0"/>
              <w:bottom w:val="nil"/>
              <w:right w:val="single" w:color="000000" w:sz="4" w:space="0"/>
            </w:tcBorders>
            <w:shd w:val="clear" w:color="auto" w:fill="auto"/>
            <w:vAlign w:val="center"/>
          </w:tcPr>
          <w:p w14:paraId="371CC72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元/日</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0725B3E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3</w:t>
            </w:r>
          </w:p>
        </w:tc>
        <w:tc>
          <w:tcPr>
            <w:tcW w:w="350" w:type="pct"/>
            <w:tcBorders>
              <w:top w:val="single" w:color="000000" w:sz="4" w:space="0"/>
              <w:left w:val="single" w:color="000000" w:sz="4" w:space="0"/>
              <w:bottom w:val="nil"/>
              <w:right w:val="single" w:color="000000" w:sz="4" w:space="0"/>
            </w:tcBorders>
            <w:shd w:val="clear" w:color="auto" w:fill="auto"/>
            <w:vAlign w:val="center"/>
          </w:tcPr>
          <w:p w14:paraId="4F08A786">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3</w:t>
            </w:r>
          </w:p>
        </w:tc>
        <w:tc>
          <w:tcPr>
            <w:tcW w:w="887" w:type="pct"/>
            <w:tcBorders>
              <w:top w:val="single" w:color="000000" w:sz="4" w:space="0"/>
              <w:left w:val="single" w:color="000000" w:sz="4" w:space="0"/>
              <w:bottom w:val="nil"/>
              <w:right w:val="single" w:color="000000" w:sz="4" w:space="0"/>
            </w:tcBorders>
            <w:shd w:val="clear" w:color="auto" w:fill="auto"/>
            <w:vAlign w:val="center"/>
          </w:tcPr>
          <w:p w14:paraId="5D96DCED">
            <w:pPr>
              <w:jc w:val="center"/>
              <w:rPr>
                <w:rFonts w:hint="eastAsia" w:ascii="宋体" w:hAnsi="宋体" w:eastAsia="宋体" w:cs="宋体"/>
                <w:i w:val="0"/>
                <w:iCs w:val="0"/>
                <w:color w:val="000000"/>
                <w:sz w:val="18"/>
                <w:szCs w:val="18"/>
                <w:u w:val="none" w:color="auto"/>
              </w:rPr>
            </w:pPr>
          </w:p>
        </w:tc>
      </w:tr>
      <w:tr w14:paraId="7224C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3" w:type="pct"/>
            <w:vMerge w:val="continue"/>
            <w:tcBorders>
              <w:top w:val="single" w:color="000000" w:sz="4" w:space="0"/>
              <w:left w:val="single" w:color="000000" w:sz="4" w:space="0"/>
              <w:bottom w:val="nil"/>
              <w:right w:val="single" w:color="000000" w:sz="4" w:space="0"/>
            </w:tcBorders>
            <w:shd w:val="clear" w:color="auto" w:fill="auto"/>
            <w:vAlign w:val="center"/>
          </w:tcPr>
          <w:p w14:paraId="17AAA1B9">
            <w:pPr>
              <w:jc w:val="center"/>
              <w:rPr>
                <w:rFonts w:hint="eastAsia" w:ascii="宋体" w:hAnsi="宋体" w:eastAsia="宋体" w:cs="宋体"/>
                <w:i w:val="0"/>
                <w:iCs w:val="0"/>
                <w:color w:val="000000"/>
                <w:sz w:val="18"/>
                <w:szCs w:val="18"/>
                <w:u w:val="none" w:color="auto"/>
              </w:rPr>
            </w:pPr>
          </w:p>
        </w:tc>
        <w:tc>
          <w:tcPr>
            <w:tcW w:w="210" w:type="pct"/>
            <w:vMerge w:val="restart"/>
            <w:tcBorders>
              <w:top w:val="single" w:color="000000" w:sz="4" w:space="0"/>
              <w:left w:val="single" w:color="000000" w:sz="4" w:space="0"/>
              <w:bottom w:val="nil"/>
              <w:right w:val="single" w:color="000000" w:sz="4" w:space="0"/>
            </w:tcBorders>
            <w:shd w:val="clear" w:color="auto" w:fill="auto"/>
            <w:vAlign w:val="center"/>
          </w:tcPr>
          <w:p w14:paraId="62EDD27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效益指标</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170CD7F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社会效益</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18029471">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重大活动医疗保健水平</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39DD07E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定性</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37AA1188">
            <w:pPr>
              <w:jc w:val="center"/>
              <w:rPr>
                <w:rFonts w:hint="eastAsia" w:ascii="宋体" w:hAnsi="宋体" w:eastAsia="宋体" w:cs="宋体"/>
                <w:i w:val="0"/>
                <w:iCs w:val="0"/>
                <w:color w:val="000000"/>
                <w:sz w:val="18"/>
                <w:szCs w:val="18"/>
                <w:u w:val="none" w:color="auto"/>
              </w:rPr>
            </w:pPr>
          </w:p>
        </w:tc>
        <w:tc>
          <w:tcPr>
            <w:tcW w:w="351" w:type="pct"/>
            <w:tcBorders>
              <w:top w:val="single" w:color="000000" w:sz="4" w:space="0"/>
              <w:left w:val="single" w:color="000000" w:sz="4" w:space="0"/>
              <w:bottom w:val="nil"/>
              <w:right w:val="single" w:color="000000" w:sz="4" w:space="0"/>
            </w:tcBorders>
            <w:shd w:val="clear" w:color="auto" w:fill="auto"/>
            <w:vAlign w:val="center"/>
          </w:tcPr>
          <w:p w14:paraId="33BE8A4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有所提高</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59B24C2A">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有所提高</w:t>
            </w:r>
          </w:p>
        </w:tc>
        <w:tc>
          <w:tcPr>
            <w:tcW w:w="353" w:type="pct"/>
            <w:tcBorders>
              <w:top w:val="single" w:color="000000" w:sz="4" w:space="0"/>
              <w:left w:val="single" w:color="000000" w:sz="4" w:space="0"/>
              <w:bottom w:val="nil"/>
              <w:right w:val="single" w:color="000000" w:sz="4" w:space="0"/>
            </w:tcBorders>
            <w:shd w:val="clear" w:color="auto" w:fill="auto"/>
            <w:vAlign w:val="center"/>
          </w:tcPr>
          <w:p w14:paraId="2FFE0D6B">
            <w:pPr>
              <w:jc w:val="center"/>
              <w:rPr>
                <w:rFonts w:hint="eastAsia" w:ascii="宋体" w:hAnsi="宋体" w:eastAsia="宋体" w:cs="宋体"/>
                <w:i w:val="0"/>
                <w:iCs w:val="0"/>
                <w:color w:val="000000"/>
                <w:sz w:val="18"/>
                <w:szCs w:val="18"/>
                <w:u w:val="none" w:color="auto"/>
              </w:rPr>
            </w:pPr>
          </w:p>
        </w:tc>
        <w:tc>
          <w:tcPr>
            <w:tcW w:w="348" w:type="pct"/>
            <w:tcBorders>
              <w:top w:val="single" w:color="000000" w:sz="4" w:space="0"/>
              <w:left w:val="single" w:color="000000" w:sz="4" w:space="0"/>
              <w:bottom w:val="nil"/>
              <w:right w:val="single" w:color="000000" w:sz="4" w:space="0"/>
            </w:tcBorders>
            <w:shd w:val="clear" w:color="auto" w:fill="auto"/>
            <w:vAlign w:val="center"/>
          </w:tcPr>
          <w:p w14:paraId="4284750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15</w:t>
            </w:r>
          </w:p>
        </w:tc>
        <w:tc>
          <w:tcPr>
            <w:tcW w:w="350" w:type="pct"/>
            <w:tcBorders>
              <w:top w:val="single" w:color="000000" w:sz="4" w:space="0"/>
              <w:left w:val="single" w:color="000000" w:sz="4" w:space="0"/>
              <w:bottom w:val="nil"/>
              <w:right w:val="single" w:color="000000" w:sz="4" w:space="0"/>
            </w:tcBorders>
            <w:shd w:val="clear" w:color="auto" w:fill="auto"/>
            <w:vAlign w:val="center"/>
          </w:tcPr>
          <w:p w14:paraId="4E74E90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15</w:t>
            </w:r>
          </w:p>
        </w:tc>
        <w:tc>
          <w:tcPr>
            <w:tcW w:w="887" w:type="pct"/>
            <w:tcBorders>
              <w:top w:val="single" w:color="000000" w:sz="4" w:space="0"/>
              <w:left w:val="single" w:color="000000" w:sz="4" w:space="0"/>
              <w:bottom w:val="nil"/>
              <w:right w:val="single" w:color="000000" w:sz="4" w:space="0"/>
            </w:tcBorders>
            <w:shd w:val="clear" w:color="auto" w:fill="auto"/>
            <w:vAlign w:val="center"/>
          </w:tcPr>
          <w:p w14:paraId="57B79823">
            <w:pPr>
              <w:jc w:val="center"/>
              <w:rPr>
                <w:rFonts w:hint="eastAsia" w:ascii="宋体" w:hAnsi="宋体" w:eastAsia="宋体" w:cs="宋体"/>
                <w:i w:val="0"/>
                <w:iCs w:val="0"/>
                <w:color w:val="000000"/>
                <w:sz w:val="18"/>
                <w:szCs w:val="18"/>
                <w:u w:val="none" w:color="auto"/>
              </w:rPr>
            </w:pPr>
          </w:p>
        </w:tc>
      </w:tr>
      <w:tr w14:paraId="0931D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3" w:type="pct"/>
            <w:vMerge w:val="continue"/>
            <w:tcBorders>
              <w:top w:val="single" w:color="000000" w:sz="4" w:space="0"/>
              <w:left w:val="single" w:color="000000" w:sz="4" w:space="0"/>
              <w:bottom w:val="nil"/>
              <w:right w:val="single" w:color="000000" w:sz="4" w:space="0"/>
            </w:tcBorders>
            <w:shd w:val="clear" w:color="auto" w:fill="auto"/>
            <w:vAlign w:val="center"/>
          </w:tcPr>
          <w:p w14:paraId="626F77D8">
            <w:pPr>
              <w:jc w:val="center"/>
              <w:rPr>
                <w:rFonts w:hint="eastAsia" w:ascii="宋体" w:hAnsi="宋体" w:eastAsia="宋体" w:cs="宋体"/>
                <w:i w:val="0"/>
                <w:iCs w:val="0"/>
                <w:color w:val="000000"/>
                <w:sz w:val="18"/>
                <w:szCs w:val="18"/>
                <w:u w:val="none" w:color="auto"/>
              </w:rPr>
            </w:pPr>
          </w:p>
        </w:tc>
        <w:tc>
          <w:tcPr>
            <w:tcW w:w="210" w:type="pct"/>
            <w:vMerge w:val="continue"/>
            <w:tcBorders>
              <w:top w:val="single" w:color="000000" w:sz="4" w:space="0"/>
              <w:left w:val="single" w:color="000000" w:sz="4" w:space="0"/>
              <w:bottom w:val="nil"/>
              <w:right w:val="single" w:color="000000" w:sz="4" w:space="0"/>
            </w:tcBorders>
            <w:shd w:val="clear" w:color="auto" w:fill="auto"/>
            <w:vAlign w:val="center"/>
          </w:tcPr>
          <w:p w14:paraId="0E2B4F5C">
            <w:pPr>
              <w:jc w:val="center"/>
              <w:rPr>
                <w:rFonts w:hint="eastAsia" w:ascii="宋体" w:hAnsi="宋体" w:eastAsia="宋体" w:cs="宋体"/>
                <w:i w:val="0"/>
                <w:iCs w:val="0"/>
                <w:color w:val="000000"/>
                <w:sz w:val="18"/>
                <w:szCs w:val="18"/>
                <w:u w:val="none" w:color="auto"/>
              </w:rPr>
            </w:pPr>
          </w:p>
        </w:tc>
        <w:tc>
          <w:tcPr>
            <w:tcW w:w="348" w:type="pct"/>
            <w:tcBorders>
              <w:top w:val="single" w:color="000000" w:sz="4" w:space="0"/>
              <w:left w:val="single" w:color="000000" w:sz="4" w:space="0"/>
              <w:bottom w:val="nil"/>
              <w:right w:val="single" w:color="000000" w:sz="4" w:space="0"/>
            </w:tcBorders>
            <w:shd w:val="clear" w:color="auto" w:fill="auto"/>
            <w:vAlign w:val="center"/>
          </w:tcPr>
          <w:p w14:paraId="62A0C39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可持续影响</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0F64027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项目持续发挥效益</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3BF445D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定性</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6673D222">
            <w:pPr>
              <w:jc w:val="center"/>
              <w:rPr>
                <w:rFonts w:hint="eastAsia" w:ascii="宋体" w:hAnsi="宋体" w:eastAsia="宋体" w:cs="宋体"/>
                <w:i w:val="0"/>
                <w:iCs w:val="0"/>
                <w:color w:val="000000"/>
                <w:sz w:val="18"/>
                <w:szCs w:val="18"/>
                <w:u w:val="none" w:color="auto"/>
              </w:rPr>
            </w:pPr>
          </w:p>
        </w:tc>
        <w:tc>
          <w:tcPr>
            <w:tcW w:w="351" w:type="pct"/>
            <w:tcBorders>
              <w:top w:val="single" w:color="000000" w:sz="4" w:space="0"/>
              <w:left w:val="single" w:color="000000" w:sz="4" w:space="0"/>
              <w:bottom w:val="nil"/>
              <w:right w:val="single" w:color="000000" w:sz="4" w:space="0"/>
            </w:tcBorders>
            <w:shd w:val="clear" w:color="auto" w:fill="auto"/>
            <w:vAlign w:val="center"/>
          </w:tcPr>
          <w:p w14:paraId="7E5A08F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长期</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5519013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长期</w:t>
            </w:r>
          </w:p>
        </w:tc>
        <w:tc>
          <w:tcPr>
            <w:tcW w:w="353" w:type="pct"/>
            <w:tcBorders>
              <w:top w:val="single" w:color="000000" w:sz="4" w:space="0"/>
              <w:left w:val="single" w:color="000000" w:sz="4" w:space="0"/>
              <w:bottom w:val="nil"/>
              <w:right w:val="single" w:color="000000" w:sz="4" w:space="0"/>
            </w:tcBorders>
            <w:shd w:val="clear" w:color="auto" w:fill="auto"/>
            <w:vAlign w:val="center"/>
          </w:tcPr>
          <w:p w14:paraId="1C698CD8">
            <w:pPr>
              <w:jc w:val="center"/>
              <w:rPr>
                <w:rFonts w:hint="eastAsia" w:ascii="宋体" w:hAnsi="宋体" w:eastAsia="宋体" w:cs="宋体"/>
                <w:i w:val="0"/>
                <w:iCs w:val="0"/>
                <w:color w:val="000000"/>
                <w:sz w:val="18"/>
                <w:szCs w:val="18"/>
                <w:u w:val="none" w:color="auto"/>
              </w:rPr>
            </w:pPr>
          </w:p>
        </w:tc>
        <w:tc>
          <w:tcPr>
            <w:tcW w:w="348" w:type="pct"/>
            <w:tcBorders>
              <w:top w:val="single" w:color="000000" w:sz="4" w:space="0"/>
              <w:left w:val="single" w:color="000000" w:sz="4" w:space="0"/>
              <w:bottom w:val="nil"/>
              <w:right w:val="single" w:color="000000" w:sz="4" w:space="0"/>
            </w:tcBorders>
            <w:shd w:val="clear" w:color="auto" w:fill="auto"/>
            <w:vAlign w:val="center"/>
          </w:tcPr>
          <w:p w14:paraId="296F4B6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15</w:t>
            </w:r>
          </w:p>
        </w:tc>
        <w:tc>
          <w:tcPr>
            <w:tcW w:w="350" w:type="pct"/>
            <w:tcBorders>
              <w:top w:val="single" w:color="000000" w:sz="4" w:space="0"/>
              <w:left w:val="single" w:color="000000" w:sz="4" w:space="0"/>
              <w:bottom w:val="nil"/>
              <w:right w:val="single" w:color="000000" w:sz="4" w:space="0"/>
            </w:tcBorders>
            <w:shd w:val="clear" w:color="auto" w:fill="auto"/>
            <w:vAlign w:val="center"/>
          </w:tcPr>
          <w:p w14:paraId="372ABE1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15</w:t>
            </w:r>
          </w:p>
        </w:tc>
        <w:tc>
          <w:tcPr>
            <w:tcW w:w="887" w:type="pct"/>
            <w:tcBorders>
              <w:top w:val="single" w:color="000000" w:sz="4" w:space="0"/>
              <w:left w:val="single" w:color="000000" w:sz="4" w:space="0"/>
              <w:bottom w:val="nil"/>
              <w:right w:val="single" w:color="000000" w:sz="4" w:space="0"/>
            </w:tcBorders>
            <w:shd w:val="clear" w:color="auto" w:fill="auto"/>
            <w:vAlign w:val="center"/>
          </w:tcPr>
          <w:p w14:paraId="29241E51">
            <w:pPr>
              <w:jc w:val="center"/>
              <w:rPr>
                <w:rFonts w:hint="eastAsia" w:ascii="宋体" w:hAnsi="宋体" w:eastAsia="宋体" w:cs="宋体"/>
                <w:i w:val="0"/>
                <w:iCs w:val="0"/>
                <w:color w:val="000000"/>
                <w:sz w:val="18"/>
                <w:szCs w:val="18"/>
                <w:u w:val="none" w:color="auto"/>
              </w:rPr>
            </w:pPr>
          </w:p>
        </w:tc>
      </w:tr>
      <w:tr w14:paraId="298C9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3" w:type="pct"/>
            <w:vMerge w:val="continue"/>
            <w:tcBorders>
              <w:top w:val="single" w:color="000000" w:sz="4" w:space="0"/>
              <w:left w:val="single" w:color="000000" w:sz="4" w:space="0"/>
              <w:bottom w:val="nil"/>
              <w:right w:val="single" w:color="000000" w:sz="4" w:space="0"/>
            </w:tcBorders>
            <w:shd w:val="clear" w:color="auto" w:fill="auto"/>
            <w:vAlign w:val="center"/>
          </w:tcPr>
          <w:p w14:paraId="169B5942">
            <w:pPr>
              <w:jc w:val="center"/>
              <w:rPr>
                <w:rFonts w:hint="eastAsia" w:ascii="宋体" w:hAnsi="宋体" w:eastAsia="宋体" w:cs="宋体"/>
                <w:i w:val="0"/>
                <w:iCs w:val="0"/>
                <w:color w:val="000000"/>
                <w:sz w:val="18"/>
                <w:szCs w:val="18"/>
                <w:u w:val="none" w:color="auto"/>
              </w:rPr>
            </w:pPr>
          </w:p>
        </w:tc>
        <w:tc>
          <w:tcPr>
            <w:tcW w:w="210" w:type="pct"/>
            <w:vMerge w:val="restart"/>
            <w:tcBorders>
              <w:top w:val="single" w:color="000000" w:sz="4" w:space="0"/>
              <w:left w:val="single" w:color="000000" w:sz="4" w:space="0"/>
              <w:bottom w:val="nil"/>
              <w:right w:val="single" w:color="000000" w:sz="4" w:space="0"/>
            </w:tcBorders>
            <w:shd w:val="clear" w:color="auto" w:fill="auto"/>
            <w:vAlign w:val="center"/>
          </w:tcPr>
          <w:p w14:paraId="22AA570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满意度指标</w:t>
            </w:r>
          </w:p>
        </w:tc>
        <w:tc>
          <w:tcPr>
            <w:tcW w:w="348" w:type="pct"/>
            <w:vMerge w:val="restart"/>
            <w:tcBorders>
              <w:top w:val="single" w:color="000000" w:sz="4" w:space="0"/>
              <w:left w:val="single" w:color="000000" w:sz="4" w:space="0"/>
              <w:bottom w:val="nil"/>
              <w:right w:val="single" w:color="000000" w:sz="4" w:space="0"/>
            </w:tcBorders>
            <w:shd w:val="clear" w:color="auto" w:fill="auto"/>
            <w:vAlign w:val="center"/>
          </w:tcPr>
          <w:p w14:paraId="6678197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服务对象满意度</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32D2706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主管部门满意度</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70A20BD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2AACD7B6">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大于等于</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2F72A05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98</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0FD4089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100</w:t>
            </w:r>
          </w:p>
        </w:tc>
        <w:tc>
          <w:tcPr>
            <w:tcW w:w="353" w:type="pct"/>
            <w:tcBorders>
              <w:top w:val="single" w:color="000000" w:sz="4" w:space="0"/>
              <w:left w:val="single" w:color="000000" w:sz="4" w:space="0"/>
              <w:bottom w:val="nil"/>
              <w:right w:val="single" w:color="000000" w:sz="4" w:space="0"/>
            </w:tcBorders>
            <w:shd w:val="clear" w:color="auto" w:fill="auto"/>
            <w:vAlign w:val="center"/>
          </w:tcPr>
          <w:p w14:paraId="0FA3CC1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225D20F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350" w:type="pct"/>
            <w:tcBorders>
              <w:top w:val="single" w:color="000000" w:sz="4" w:space="0"/>
              <w:left w:val="single" w:color="000000" w:sz="4" w:space="0"/>
              <w:bottom w:val="nil"/>
              <w:right w:val="single" w:color="000000" w:sz="4" w:space="0"/>
            </w:tcBorders>
            <w:shd w:val="clear" w:color="auto" w:fill="auto"/>
            <w:vAlign w:val="center"/>
          </w:tcPr>
          <w:p w14:paraId="29A065E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887" w:type="pct"/>
            <w:tcBorders>
              <w:top w:val="single" w:color="000000" w:sz="4" w:space="0"/>
              <w:left w:val="single" w:color="000000" w:sz="4" w:space="0"/>
              <w:bottom w:val="nil"/>
              <w:right w:val="single" w:color="000000" w:sz="4" w:space="0"/>
            </w:tcBorders>
            <w:shd w:val="clear" w:color="auto" w:fill="auto"/>
            <w:vAlign w:val="center"/>
          </w:tcPr>
          <w:p w14:paraId="162A3B24">
            <w:pPr>
              <w:jc w:val="center"/>
              <w:rPr>
                <w:rFonts w:hint="eastAsia" w:ascii="宋体" w:hAnsi="宋体" w:eastAsia="宋体" w:cs="宋体"/>
                <w:i w:val="0"/>
                <w:iCs w:val="0"/>
                <w:color w:val="000000"/>
                <w:sz w:val="18"/>
                <w:szCs w:val="18"/>
                <w:u w:val="none" w:color="auto"/>
              </w:rPr>
            </w:pPr>
          </w:p>
        </w:tc>
      </w:tr>
      <w:tr w14:paraId="4D2ED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53" w:type="pct"/>
            <w:vMerge w:val="continue"/>
            <w:tcBorders>
              <w:top w:val="single" w:color="000000" w:sz="4" w:space="0"/>
              <w:left w:val="single" w:color="000000" w:sz="4" w:space="0"/>
              <w:bottom w:val="nil"/>
              <w:right w:val="single" w:color="000000" w:sz="4" w:space="0"/>
            </w:tcBorders>
            <w:shd w:val="clear" w:color="auto" w:fill="auto"/>
            <w:vAlign w:val="center"/>
          </w:tcPr>
          <w:p w14:paraId="56F71B61">
            <w:pPr>
              <w:jc w:val="center"/>
              <w:rPr>
                <w:rFonts w:hint="eastAsia" w:ascii="宋体" w:hAnsi="宋体" w:eastAsia="宋体" w:cs="宋体"/>
                <w:i w:val="0"/>
                <w:iCs w:val="0"/>
                <w:color w:val="000000"/>
                <w:sz w:val="18"/>
                <w:szCs w:val="18"/>
                <w:u w:val="none" w:color="auto"/>
              </w:rPr>
            </w:pPr>
          </w:p>
        </w:tc>
        <w:tc>
          <w:tcPr>
            <w:tcW w:w="210" w:type="pct"/>
            <w:vMerge w:val="continue"/>
            <w:tcBorders>
              <w:top w:val="single" w:color="000000" w:sz="4" w:space="0"/>
              <w:left w:val="single" w:color="000000" w:sz="4" w:space="0"/>
              <w:bottom w:val="nil"/>
              <w:right w:val="single" w:color="000000" w:sz="4" w:space="0"/>
            </w:tcBorders>
            <w:shd w:val="clear" w:color="auto" w:fill="auto"/>
            <w:vAlign w:val="center"/>
          </w:tcPr>
          <w:p w14:paraId="3D7B38C7">
            <w:pPr>
              <w:jc w:val="center"/>
              <w:rPr>
                <w:rFonts w:hint="eastAsia" w:ascii="宋体" w:hAnsi="宋体" w:eastAsia="宋体" w:cs="宋体"/>
                <w:i w:val="0"/>
                <w:iCs w:val="0"/>
                <w:color w:val="000000"/>
                <w:sz w:val="18"/>
                <w:szCs w:val="18"/>
                <w:u w:val="none" w:color="auto"/>
              </w:rPr>
            </w:pPr>
          </w:p>
        </w:tc>
        <w:tc>
          <w:tcPr>
            <w:tcW w:w="348" w:type="pct"/>
            <w:vMerge w:val="continue"/>
            <w:tcBorders>
              <w:top w:val="single" w:color="000000" w:sz="4" w:space="0"/>
              <w:left w:val="single" w:color="000000" w:sz="4" w:space="0"/>
              <w:bottom w:val="nil"/>
              <w:right w:val="single" w:color="000000" w:sz="4" w:space="0"/>
            </w:tcBorders>
            <w:shd w:val="clear" w:color="auto" w:fill="auto"/>
            <w:vAlign w:val="center"/>
          </w:tcPr>
          <w:p w14:paraId="6FD2F4AE">
            <w:pPr>
              <w:jc w:val="center"/>
              <w:rPr>
                <w:rFonts w:hint="eastAsia" w:ascii="宋体" w:hAnsi="宋体" w:eastAsia="宋体" w:cs="宋体"/>
                <w:i w:val="0"/>
                <w:iCs w:val="0"/>
                <w:color w:val="000000"/>
                <w:sz w:val="18"/>
                <w:szCs w:val="18"/>
                <w:u w:val="none" w:color="auto"/>
              </w:rPr>
            </w:pPr>
          </w:p>
        </w:tc>
        <w:tc>
          <w:tcPr>
            <w:tcW w:w="348" w:type="pct"/>
            <w:tcBorders>
              <w:top w:val="single" w:color="000000" w:sz="4" w:space="0"/>
              <w:left w:val="single" w:color="000000" w:sz="4" w:space="0"/>
              <w:bottom w:val="nil"/>
              <w:right w:val="single" w:color="000000" w:sz="4" w:space="0"/>
            </w:tcBorders>
            <w:shd w:val="clear" w:color="auto" w:fill="auto"/>
            <w:vAlign w:val="center"/>
          </w:tcPr>
          <w:p w14:paraId="4EE0A4C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保健对象满意度</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15C6DF6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2609F53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等于</w:t>
            </w:r>
          </w:p>
        </w:tc>
        <w:tc>
          <w:tcPr>
            <w:tcW w:w="351" w:type="pct"/>
            <w:tcBorders>
              <w:top w:val="single" w:color="000000" w:sz="4" w:space="0"/>
              <w:left w:val="single" w:color="000000" w:sz="4" w:space="0"/>
              <w:bottom w:val="nil"/>
              <w:right w:val="single" w:color="000000" w:sz="4" w:space="0"/>
            </w:tcBorders>
            <w:shd w:val="clear" w:color="auto" w:fill="auto"/>
            <w:vAlign w:val="center"/>
          </w:tcPr>
          <w:p w14:paraId="5155EDD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100</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3ADF336A">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100</w:t>
            </w:r>
          </w:p>
        </w:tc>
        <w:tc>
          <w:tcPr>
            <w:tcW w:w="353" w:type="pct"/>
            <w:tcBorders>
              <w:top w:val="single" w:color="000000" w:sz="4" w:space="0"/>
              <w:left w:val="single" w:color="000000" w:sz="4" w:space="0"/>
              <w:bottom w:val="nil"/>
              <w:right w:val="single" w:color="000000" w:sz="4" w:space="0"/>
            </w:tcBorders>
            <w:shd w:val="clear" w:color="auto" w:fill="auto"/>
            <w:vAlign w:val="center"/>
          </w:tcPr>
          <w:p w14:paraId="33FE4BD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w:t>
            </w:r>
          </w:p>
        </w:tc>
        <w:tc>
          <w:tcPr>
            <w:tcW w:w="348" w:type="pct"/>
            <w:tcBorders>
              <w:top w:val="single" w:color="000000" w:sz="4" w:space="0"/>
              <w:left w:val="single" w:color="000000" w:sz="4" w:space="0"/>
              <w:bottom w:val="nil"/>
              <w:right w:val="single" w:color="000000" w:sz="4" w:space="0"/>
            </w:tcBorders>
            <w:shd w:val="clear" w:color="auto" w:fill="auto"/>
            <w:vAlign w:val="center"/>
          </w:tcPr>
          <w:p w14:paraId="449805B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350" w:type="pct"/>
            <w:tcBorders>
              <w:top w:val="single" w:color="000000" w:sz="4" w:space="0"/>
              <w:left w:val="single" w:color="000000" w:sz="4" w:space="0"/>
              <w:bottom w:val="nil"/>
              <w:right w:val="single" w:color="000000" w:sz="4" w:space="0"/>
            </w:tcBorders>
            <w:shd w:val="clear" w:color="auto" w:fill="auto"/>
            <w:vAlign w:val="center"/>
          </w:tcPr>
          <w:p w14:paraId="25D1C52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887" w:type="pct"/>
            <w:tcBorders>
              <w:top w:val="single" w:color="000000" w:sz="4" w:space="0"/>
              <w:left w:val="single" w:color="000000" w:sz="4" w:space="0"/>
              <w:bottom w:val="nil"/>
              <w:right w:val="single" w:color="000000" w:sz="4" w:space="0"/>
            </w:tcBorders>
            <w:shd w:val="clear" w:color="auto" w:fill="auto"/>
            <w:vAlign w:val="center"/>
          </w:tcPr>
          <w:p w14:paraId="174C31A4">
            <w:pPr>
              <w:jc w:val="center"/>
              <w:rPr>
                <w:rFonts w:hint="eastAsia" w:ascii="宋体" w:hAnsi="宋体" w:eastAsia="宋体" w:cs="宋体"/>
                <w:i w:val="0"/>
                <w:iCs w:val="0"/>
                <w:color w:val="000000"/>
                <w:sz w:val="18"/>
                <w:szCs w:val="18"/>
                <w:u w:val="none" w:color="auto"/>
              </w:rPr>
            </w:pPr>
          </w:p>
        </w:tc>
      </w:tr>
      <w:tr w14:paraId="0A36B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341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9BEC62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总分</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8FC2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100</w:t>
            </w: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7184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100.00</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47BED">
            <w:pPr>
              <w:jc w:val="center"/>
              <w:rPr>
                <w:rFonts w:hint="eastAsia" w:ascii="宋体" w:hAnsi="宋体" w:eastAsia="宋体" w:cs="宋体"/>
                <w:i w:val="0"/>
                <w:iCs w:val="0"/>
                <w:color w:val="000000"/>
                <w:sz w:val="18"/>
                <w:szCs w:val="18"/>
                <w:u w:val="none" w:color="auto"/>
              </w:rPr>
            </w:pPr>
          </w:p>
        </w:tc>
      </w:tr>
    </w:tbl>
    <w:p w14:paraId="4EEEE117">
      <w:pPr>
        <w:keepNext w:val="0"/>
        <w:keepLines w:val="0"/>
        <w:widowControl/>
        <w:suppressLineNumbers w:val="0"/>
        <w:jc w:val="left"/>
        <w:rPr>
          <w:rFonts w:hint="default" w:ascii="仿宋" w:hAnsi="仿宋" w:eastAsia="仿宋" w:cs="仿宋"/>
          <w:color w:val="auto"/>
          <w:kern w:val="2"/>
          <w:sz w:val="32"/>
          <w:szCs w:val="32"/>
          <w:u w:val="none" w:color="auto"/>
          <w:lang w:val="en-US"/>
        </w:rPr>
      </w:pPr>
    </w:p>
    <w:p w14:paraId="6367789C">
      <w:pPr>
        <w:keepNext w:val="0"/>
        <w:keepLines w:val="0"/>
        <w:widowControl/>
        <w:suppressLineNumbers w:val="0"/>
        <w:jc w:val="left"/>
        <w:rPr>
          <w:rFonts w:hint="default" w:ascii="仿宋" w:hAnsi="仿宋" w:eastAsia="仿宋" w:cs="仿宋"/>
          <w:color w:val="auto"/>
          <w:kern w:val="2"/>
          <w:sz w:val="32"/>
          <w:szCs w:val="32"/>
          <w:u w:val="none" w:color="auto"/>
          <w:lang w:val="en-US"/>
        </w:rPr>
      </w:pPr>
    </w:p>
    <w:p w14:paraId="05815A15">
      <w:pPr>
        <w:keepNext w:val="0"/>
        <w:keepLines w:val="0"/>
        <w:widowControl/>
        <w:suppressLineNumbers w:val="0"/>
        <w:jc w:val="left"/>
        <w:rPr>
          <w:rFonts w:hint="default" w:ascii="仿宋" w:hAnsi="仿宋" w:eastAsia="仿宋" w:cs="仿宋"/>
          <w:color w:val="auto"/>
          <w:kern w:val="2"/>
          <w:sz w:val="32"/>
          <w:szCs w:val="32"/>
          <w:u w:val="none" w:color="auto"/>
          <w:lang w:val="en-US"/>
        </w:rPr>
      </w:pPr>
    </w:p>
    <w:p w14:paraId="2AD080BE">
      <w:pPr>
        <w:keepNext w:val="0"/>
        <w:keepLines w:val="0"/>
        <w:widowControl/>
        <w:suppressLineNumbers w:val="0"/>
        <w:jc w:val="left"/>
        <w:rPr>
          <w:rFonts w:hint="default" w:ascii="仿宋" w:hAnsi="仿宋" w:eastAsia="仿宋" w:cs="仿宋"/>
          <w:color w:val="auto"/>
          <w:kern w:val="2"/>
          <w:sz w:val="32"/>
          <w:szCs w:val="32"/>
          <w:u w:val="none" w:color="auto"/>
          <w:lang w:val="en-US"/>
        </w:rPr>
      </w:pPr>
    </w:p>
    <w:p w14:paraId="3F323953">
      <w:pPr>
        <w:keepNext w:val="0"/>
        <w:keepLines w:val="0"/>
        <w:widowControl/>
        <w:suppressLineNumbers w:val="0"/>
        <w:jc w:val="left"/>
        <w:rPr>
          <w:rFonts w:hint="default" w:ascii="仿宋" w:hAnsi="仿宋" w:eastAsia="仿宋" w:cs="仿宋"/>
          <w:color w:val="auto"/>
          <w:kern w:val="2"/>
          <w:sz w:val="32"/>
          <w:szCs w:val="32"/>
          <w:u w:val="none" w:color="auto"/>
          <w:lang w:val="en-US"/>
        </w:rPr>
      </w:pPr>
    </w:p>
    <w:p w14:paraId="66C869A3">
      <w:pPr>
        <w:keepNext w:val="0"/>
        <w:keepLines w:val="0"/>
        <w:widowControl/>
        <w:suppressLineNumbers w:val="0"/>
        <w:jc w:val="left"/>
        <w:rPr>
          <w:rFonts w:hint="default" w:ascii="仿宋" w:hAnsi="仿宋" w:eastAsia="仿宋" w:cs="仿宋"/>
          <w:color w:val="auto"/>
          <w:kern w:val="2"/>
          <w:sz w:val="32"/>
          <w:szCs w:val="32"/>
          <w:u w:val="none" w:color="auto"/>
          <w:lang w:val="en-US"/>
        </w:rPr>
      </w:pPr>
    </w:p>
    <w:tbl>
      <w:tblPr>
        <w:tblStyle w:val="19"/>
        <w:tblW w:w="10920" w:type="dxa"/>
        <w:tblInd w:w="-121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
        <w:gridCol w:w="528"/>
        <w:gridCol w:w="592"/>
        <w:gridCol w:w="821"/>
        <w:gridCol w:w="7"/>
        <w:gridCol w:w="1070"/>
        <w:gridCol w:w="398"/>
        <w:gridCol w:w="309"/>
        <w:gridCol w:w="234"/>
        <w:gridCol w:w="543"/>
        <w:gridCol w:w="11"/>
        <w:gridCol w:w="474"/>
        <w:gridCol w:w="324"/>
        <w:gridCol w:w="150"/>
        <w:gridCol w:w="659"/>
        <w:gridCol w:w="41"/>
        <w:gridCol w:w="662"/>
        <w:gridCol w:w="77"/>
        <w:gridCol w:w="443"/>
        <w:gridCol w:w="202"/>
        <w:gridCol w:w="504"/>
        <w:gridCol w:w="16"/>
        <w:gridCol w:w="610"/>
        <w:gridCol w:w="2200"/>
        <w:gridCol w:w="30"/>
      </w:tblGrid>
      <w:tr w14:paraId="70B03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10920" w:type="dxa"/>
            <w:gridSpan w:val="25"/>
            <w:tcBorders>
              <w:top w:val="single" w:color="000000" w:sz="4" w:space="0"/>
              <w:left w:val="single" w:color="000000" w:sz="4" w:space="0"/>
              <w:bottom w:val="single" w:color="000000" w:sz="4" w:space="0"/>
              <w:right w:val="single" w:color="000000" w:sz="4" w:space="0"/>
            </w:tcBorders>
            <w:shd w:val="clear" w:color="auto" w:fill="auto"/>
            <w:vAlign w:val="center"/>
          </w:tcPr>
          <w:p w14:paraId="62419646">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color="auto"/>
              </w:rPr>
            </w:pPr>
            <w:r>
              <w:rPr>
                <w:rFonts w:hint="eastAsia" w:ascii="宋体" w:hAnsi="宋体" w:eastAsia="宋体" w:cs="宋体"/>
                <w:b/>
                <w:bCs/>
                <w:i w:val="0"/>
                <w:iCs w:val="0"/>
                <w:color w:val="000000"/>
                <w:kern w:val="0"/>
                <w:sz w:val="40"/>
                <w:szCs w:val="40"/>
                <w:u w:val="none" w:color="auto"/>
                <w:lang w:val="en-US" w:eastAsia="zh-CN" w:bidi="ar"/>
              </w:rPr>
              <w:t>项目支出绩效自评表</w:t>
            </w:r>
            <w:r>
              <w:rPr>
                <w:rFonts w:hint="eastAsia" w:ascii="宋体" w:hAnsi="宋体" w:eastAsia="宋体" w:cs="宋体"/>
                <w:b/>
                <w:bCs/>
                <w:i w:val="0"/>
                <w:iCs w:val="0"/>
                <w:color w:val="000000"/>
                <w:kern w:val="0"/>
                <w:sz w:val="40"/>
                <w:szCs w:val="40"/>
                <w:u w:val="none" w:color="auto"/>
                <w:lang w:val="en-US" w:eastAsia="zh-CN" w:bidi="ar"/>
              </w:rPr>
              <w:br w:type="textWrapping"/>
            </w:r>
            <w:r>
              <w:rPr>
                <w:rFonts w:hint="eastAsia" w:ascii="宋体" w:hAnsi="宋体" w:eastAsia="宋体" w:cs="宋体"/>
                <w:b/>
                <w:bCs/>
                <w:i w:val="0"/>
                <w:iCs w:val="0"/>
                <w:color w:val="000000"/>
                <w:kern w:val="0"/>
                <w:sz w:val="40"/>
                <w:szCs w:val="40"/>
                <w:u w:val="none" w:color="auto"/>
                <w:lang w:val="en-US" w:eastAsia="zh-CN" w:bidi="ar"/>
              </w:rPr>
              <w:t>(2025年度）</w:t>
            </w:r>
          </w:p>
        </w:tc>
      </w:tr>
      <w:tr w14:paraId="378C0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11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85F2CF">
            <w:pPr>
              <w:keepNext w:val="0"/>
              <w:keepLines w:val="0"/>
              <w:widowControl/>
              <w:suppressLineNumbers w:val="0"/>
              <w:jc w:val="righ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项目名称</w:t>
            </w:r>
          </w:p>
        </w:tc>
        <w:tc>
          <w:tcPr>
            <w:tcW w:w="9785"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418A82D0">
            <w:pPr>
              <w:keepNext w:val="0"/>
              <w:keepLines w:val="0"/>
              <w:widowControl/>
              <w:suppressLineNumbers w:val="0"/>
              <w:jc w:val="lef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卫生健康事业费</w:t>
            </w:r>
          </w:p>
        </w:tc>
      </w:tr>
      <w:tr w14:paraId="07C52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11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BF206D">
            <w:pPr>
              <w:keepNext w:val="0"/>
              <w:keepLines w:val="0"/>
              <w:widowControl/>
              <w:suppressLineNumbers w:val="0"/>
              <w:jc w:val="righ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主管部门</w:t>
            </w:r>
          </w:p>
        </w:tc>
        <w:tc>
          <w:tcPr>
            <w:tcW w:w="338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15B4445">
            <w:pPr>
              <w:keepNext w:val="0"/>
              <w:keepLines w:val="0"/>
              <w:widowControl/>
              <w:suppressLineNumbers w:val="0"/>
              <w:jc w:val="lef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巴彦淖尔市卫生健康委员会（部门）</w:t>
            </w:r>
          </w:p>
        </w:tc>
        <w:tc>
          <w:tcPr>
            <w:tcW w:w="161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11D942">
            <w:pPr>
              <w:keepNext w:val="0"/>
              <w:keepLines w:val="0"/>
              <w:widowControl/>
              <w:suppressLineNumbers w:val="0"/>
              <w:jc w:val="righ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实施单位</w:t>
            </w:r>
          </w:p>
        </w:tc>
        <w:tc>
          <w:tcPr>
            <w:tcW w:w="478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B555BB3">
            <w:pPr>
              <w:keepNext w:val="0"/>
              <w:keepLines w:val="0"/>
              <w:widowControl/>
              <w:suppressLineNumbers w:val="0"/>
              <w:jc w:val="lef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巴彦淖尔市卫生健康委员会</w:t>
            </w:r>
          </w:p>
        </w:tc>
      </w:tr>
      <w:tr w14:paraId="064D4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113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7AB41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项目资金</w:t>
            </w:r>
            <w:r>
              <w:rPr>
                <w:rFonts w:hint="eastAsia" w:ascii="宋体" w:hAnsi="宋体" w:eastAsia="宋体" w:cs="宋体"/>
                <w:i w:val="0"/>
                <w:iCs w:val="0"/>
                <w:color w:val="000000"/>
                <w:kern w:val="0"/>
                <w:sz w:val="18"/>
                <w:szCs w:val="18"/>
                <w:u w:val="none" w:color="auto"/>
                <w:lang w:val="en-US" w:eastAsia="zh-CN" w:bidi="ar"/>
              </w:rPr>
              <w:br w:type="textWrapping"/>
            </w:r>
            <w:r>
              <w:rPr>
                <w:rFonts w:hint="eastAsia" w:ascii="宋体" w:hAnsi="宋体" w:eastAsia="宋体" w:cs="宋体"/>
                <w:i w:val="0"/>
                <w:iCs w:val="0"/>
                <w:color w:val="000000"/>
                <w:kern w:val="0"/>
                <w:sz w:val="18"/>
                <w:szCs w:val="18"/>
                <w:u w:val="none" w:color="auto"/>
                <w:lang w:val="en-US" w:eastAsia="zh-CN" w:bidi="ar"/>
              </w:rPr>
              <w:t>（万元）</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7AB88">
            <w:pPr>
              <w:rPr>
                <w:rFonts w:hint="eastAsia" w:ascii="宋体" w:hAnsi="宋体" w:eastAsia="宋体" w:cs="宋体"/>
                <w:i w:val="0"/>
                <w:iCs w:val="0"/>
                <w:color w:val="000000"/>
                <w:sz w:val="18"/>
                <w:szCs w:val="18"/>
                <w:u w:val="none" w:color="auto"/>
              </w:rPr>
            </w:pPr>
          </w:p>
        </w:tc>
        <w:tc>
          <w:tcPr>
            <w:tcW w:w="14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A074D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年初预算数</w:t>
            </w:r>
          </w:p>
        </w:tc>
        <w:tc>
          <w:tcPr>
            <w:tcW w:w="10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05B59A">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全年预算数</w:t>
            </w:r>
          </w:p>
        </w:tc>
        <w:tc>
          <w:tcPr>
            <w:tcW w:w="161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26070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全年执行数</w:t>
            </w:r>
          </w:p>
        </w:tc>
        <w:tc>
          <w:tcPr>
            <w:tcW w:w="7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3BD296">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分值</w:t>
            </w:r>
          </w:p>
        </w:tc>
        <w:tc>
          <w:tcPr>
            <w:tcW w:w="124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64DD0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执行率（%）</w:t>
            </w:r>
          </w:p>
        </w:tc>
        <w:tc>
          <w:tcPr>
            <w:tcW w:w="28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9E9ED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得分</w:t>
            </w:r>
          </w:p>
        </w:tc>
      </w:tr>
      <w:tr w14:paraId="4D7C6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11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C5BF48">
            <w:pPr>
              <w:jc w:val="center"/>
              <w:rPr>
                <w:rFonts w:hint="eastAsia" w:ascii="宋体" w:hAnsi="宋体" w:eastAsia="宋体" w:cs="宋体"/>
                <w:i w:val="0"/>
                <w:iCs w:val="0"/>
                <w:color w:val="000000"/>
                <w:sz w:val="18"/>
                <w:szCs w:val="18"/>
                <w:u w:val="none" w:color="auto"/>
              </w:rPr>
            </w:pP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B49D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年度资金总额</w:t>
            </w:r>
          </w:p>
        </w:tc>
        <w:tc>
          <w:tcPr>
            <w:tcW w:w="14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1DC57A">
            <w:pPr>
              <w:keepNext w:val="0"/>
              <w:keepLines w:val="0"/>
              <w:widowControl/>
              <w:suppressLineNumbers w:val="0"/>
              <w:jc w:val="lef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55</w:t>
            </w:r>
          </w:p>
        </w:tc>
        <w:tc>
          <w:tcPr>
            <w:tcW w:w="10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2602B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54.97</w:t>
            </w:r>
          </w:p>
        </w:tc>
        <w:tc>
          <w:tcPr>
            <w:tcW w:w="161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FEBD8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54.97</w:t>
            </w:r>
          </w:p>
        </w:tc>
        <w:tc>
          <w:tcPr>
            <w:tcW w:w="7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0F23F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w:t>
            </w:r>
          </w:p>
        </w:tc>
        <w:tc>
          <w:tcPr>
            <w:tcW w:w="124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1AEBE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100</w:t>
            </w:r>
          </w:p>
        </w:tc>
        <w:tc>
          <w:tcPr>
            <w:tcW w:w="28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D0B57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w:t>
            </w:r>
          </w:p>
        </w:tc>
      </w:tr>
      <w:tr w14:paraId="4B4D0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11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02453C">
            <w:pPr>
              <w:jc w:val="center"/>
              <w:rPr>
                <w:rFonts w:hint="eastAsia" w:ascii="宋体" w:hAnsi="宋体" w:eastAsia="宋体" w:cs="宋体"/>
                <w:i w:val="0"/>
                <w:iCs w:val="0"/>
                <w:color w:val="000000"/>
                <w:sz w:val="18"/>
                <w:szCs w:val="18"/>
                <w:u w:val="none" w:color="auto"/>
              </w:rPr>
            </w:pP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DA0D6">
            <w:pPr>
              <w:keepNext w:val="0"/>
              <w:keepLines w:val="0"/>
              <w:widowControl/>
              <w:suppressLineNumbers w:val="0"/>
              <w:jc w:val="lef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其中：财政拨款</w:t>
            </w:r>
          </w:p>
        </w:tc>
        <w:tc>
          <w:tcPr>
            <w:tcW w:w="14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7C754A">
            <w:pPr>
              <w:keepNext w:val="0"/>
              <w:keepLines w:val="0"/>
              <w:widowControl/>
              <w:suppressLineNumbers w:val="0"/>
              <w:jc w:val="lef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55</w:t>
            </w:r>
          </w:p>
        </w:tc>
        <w:tc>
          <w:tcPr>
            <w:tcW w:w="10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F40DDA">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54.97</w:t>
            </w:r>
          </w:p>
        </w:tc>
        <w:tc>
          <w:tcPr>
            <w:tcW w:w="161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5CFC5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54.97</w:t>
            </w:r>
          </w:p>
        </w:tc>
        <w:tc>
          <w:tcPr>
            <w:tcW w:w="70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24477">
            <w:pPr>
              <w:keepNext w:val="0"/>
              <w:keepLines w:val="0"/>
              <w:widowControl/>
              <w:suppressLineNumbers w:val="0"/>
              <w:jc w:val="center"/>
              <w:textAlignment w:val="center"/>
              <w:rPr>
                <w:rFonts w:ascii="Arial" w:hAnsi="Arial" w:eastAsia="宋体" w:cs="Arial"/>
                <w:i w:val="0"/>
                <w:iCs w:val="0"/>
                <w:color w:val="222222"/>
                <w:sz w:val="19"/>
                <w:szCs w:val="19"/>
                <w:u w:val="none" w:color="auto"/>
              </w:rPr>
            </w:pPr>
            <w:r>
              <w:rPr>
                <w:rFonts w:hint="default" w:ascii="Arial" w:hAnsi="Arial" w:eastAsia="宋体" w:cs="Arial"/>
                <w:i w:val="0"/>
                <w:iCs w:val="0"/>
                <w:color w:val="222222"/>
                <w:kern w:val="0"/>
                <w:sz w:val="19"/>
                <w:szCs w:val="19"/>
                <w:u w:val="none" w:color="auto"/>
                <w:lang w:val="en-US" w:eastAsia="zh-CN" w:bidi="ar"/>
              </w:rPr>
              <w:t>——</w:t>
            </w:r>
          </w:p>
        </w:tc>
        <w:tc>
          <w:tcPr>
            <w:tcW w:w="124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36ACB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100</w:t>
            </w:r>
          </w:p>
        </w:tc>
        <w:tc>
          <w:tcPr>
            <w:tcW w:w="284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448AA">
            <w:pPr>
              <w:keepNext w:val="0"/>
              <w:keepLines w:val="0"/>
              <w:widowControl/>
              <w:suppressLineNumbers w:val="0"/>
              <w:jc w:val="center"/>
              <w:textAlignment w:val="center"/>
              <w:rPr>
                <w:rFonts w:hint="default" w:ascii="Arial" w:hAnsi="Arial" w:eastAsia="宋体" w:cs="Arial"/>
                <w:i w:val="0"/>
                <w:iCs w:val="0"/>
                <w:color w:val="222222"/>
                <w:sz w:val="19"/>
                <w:szCs w:val="19"/>
                <w:u w:val="none" w:color="auto"/>
              </w:rPr>
            </w:pPr>
            <w:r>
              <w:rPr>
                <w:rFonts w:hint="default" w:ascii="Arial" w:hAnsi="Arial" w:eastAsia="宋体" w:cs="Arial"/>
                <w:i w:val="0"/>
                <w:iCs w:val="0"/>
                <w:color w:val="222222"/>
                <w:kern w:val="0"/>
                <w:sz w:val="19"/>
                <w:szCs w:val="19"/>
                <w:u w:val="none" w:color="auto"/>
                <w:lang w:val="en-US" w:eastAsia="zh-CN" w:bidi="ar"/>
              </w:rPr>
              <w:t>——</w:t>
            </w:r>
          </w:p>
        </w:tc>
      </w:tr>
      <w:tr w14:paraId="13DEF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11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8C671">
            <w:pPr>
              <w:jc w:val="center"/>
              <w:rPr>
                <w:rFonts w:hint="eastAsia" w:ascii="宋体" w:hAnsi="宋体" w:eastAsia="宋体" w:cs="宋体"/>
                <w:i w:val="0"/>
                <w:iCs w:val="0"/>
                <w:color w:val="000000"/>
                <w:sz w:val="18"/>
                <w:szCs w:val="18"/>
                <w:u w:val="none" w:color="auto"/>
              </w:rPr>
            </w:pP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CFE2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上年结转资金</w:t>
            </w:r>
          </w:p>
        </w:tc>
        <w:tc>
          <w:tcPr>
            <w:tcW w:w="14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F82C2A">
            <w:pPr>
              <w:rPr>
                <w:rFonts w:hint="eastAsia" w:ascii="宋体" w:hAnsi="宋体" w:eastAsia="宋体" w:cs="宋体"/>
                <w:i w:val="0"/>
                <w:iCs w:val="0"/>
                <w:color w:val="000000"/>
                <w:sz w:val="18"/>
                <w:szCs w:val="18"/>
                <w:u w:val="none" w:color="auto"/>
              </w:rPr>
            </w:pPr>
          </w:p>
        </w:tc>
        <w:tc>
          <w:tcPr>
            <w:tcW w:w="10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DF3EAA">
            <w:pPr>
              <w:jc w:val="center"/>
              <w:rPr>
                <w:rFonts w:hint="eastAsia" w:ascii="宋体" w:hAnsi="宋体" w:eastAsia="宋体" w:cs="宋体"/>
                <w:i w:val="0"/>
                <w:iCs w:val="0"/>
                <w:color w:val="000000"/>
                <w:sz w:val="18"/>
                <w:szCs w:val="18"/>
                <w:u w:val="none" w:color="auto"/>
              </w:rPr>
            </w:pPr>
          </w:p>
        </w:tc>
        <w:tc>
          <w:tcPr>
            <w:tcW w:w="161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6EC093">
            <w:pPr>
              <w:jc w:val="center"/>
              <w:rPr>
                <w:rFonts w:hint="eastAsia" w:ascii="宋体" w:hAnsi="宋体" w:eastAsia="宋体" w:cs="宋体"/>
                <w:i w:val="0"/>
                <w:iCs w:val="0"/>
                <w:color w:val="000000"/>
                <w:sz w:val="18"/>
                <w:szCs w:val="18"/>
                <w:u w:val="none" w:color="auto"/>
              </w:rPr>
            </w:pPr>
          </w:p>
        </w:tc>
        <w:tc>
          <w:tcPr>
            <w:tcW w:w="70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EB504">
            <w:pPr>
              <w:keepNext w:val="0"/>
              <w:keepLines w:val="0"/>
              <w:widowControl/>
              <w:suppressLineNumbers w:val="0"/>
              <w:jc w:val="center"/>
              <w:textAlignment w:val="center"/>
              <w:rPr>
                <w:rFonts w:hint="default" w:ascii="Arial" w:hAnsi="Arial" w:eastAsia="宋体" w:cs="Arial"/>
                <w:i w:val="0"/>
                <w:iCs w:val="0"/>
                <w:color w:val="222222"/>
                <w:sz w:val="19"/>
                <w:szCs w:val="19"/>
                <w:u w:val="none" w:color="auto"/>
              </w:rPr>
            </w:pPr>
            <w:r>
              <w:rPr>
                <w:rFonts w:hint="default" w:ascii="Arial" w:hAnsi="Arial" w:eastAsia="宋体" w:cs="Arial"/>
                <w:i w:val="0"/>
                <w:iCs w:val="0"/>
                <w:color w:val="222222"/>
                <w:kern w:val="0"/>
                <w:sz w:val="19"/>
                <w:szCs w:val="19"/>
                <w:u w:val="none" w:color="auto"/>
                <w:lang w:val="en-US" w:eastAsia="zh-CN" w:bidi="ar"/>
              </w:rPr>
              <w:t>——</w:t>
            </w:r>
          </w:p>
        </w:tc>
        <w:tc>
          <w:tcPr>
            <w:tcW w:w="124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D390F7">
            <w:pPr>
              <w:jc w:val="center"/>
              <w:rPr>
                <w:rFonts w:hint="eastAsia" w:ascii="宋体" w:hAnsi="宋体" w:eastAsia="宋体" w:cs="宋体"/>
                <w:i w:val="0"/>
                <w:iCs w:val="0"/>
                <w:color w:val="000000"/>
                <w:sz w:val="18"/>
                <w:szCs w:val="18"/>
                <w:u w:val="none" w:color="auto"/>
              </w:rPr>
            </w:pPr>
          </w:p>
        </w:tc>
        <w:tc>
          <w:tcPr>
            <w:tcW w:w="284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D2198">
            <w:pPr>
              <w:keepNext w:val="0"/>
              <w:keepLines w:val="0"/>
              <w:widowControl/>
              <w:suppressLineNumbers w:val="0"/>
              <w:jc w:val="center"/>
              <w:textAlignment w:val="center"/>
              <w:rPr>
                <w:rFonts w:hint="default" w:ascii="Arial" w:hAnsi="Arial" w:eastAsia="宋体" w:cs="Arial"/>
                <w:i w:val="0"/>
                <w:iCs w:val="0"/>
                <w:color w:val="222222"/>
                <w:sz w:val="19"/>
                <w:szCs w:val="19"/>
                <w:u w:val="none" w:color="auto"/>
              </w:rPr>
            </w:pPr>
            <w:r>
              <w:rPr>
                <w:rFonts w:hint="default" w:ascii="Arial" w:hAnsi="Arial" w:eastAsia="宋体" w:cs="Arial"/>
                <w:i w:val="0"/>
                <w:iCs w:val="0"/>
                <w:color w:val="222222"/>
                <w:kern w:val="0"/>
                <w:sz w:val="19"/>
                <w:szCs w:val="19"/>
                <w:u w:val="none" w:color="auto"/>
                <w:lang w:val="en-US" w:eastAsia="zh-CN" w:bidi="ar"/>
              </w:rPr>
              <w:t>——</w:t>
            </w:r>
          </w:p>
        </w:tc>
      </w:tr>
      <w:tr w14:paraId="691E9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1" w:hRule="atLeast"/>
        </w:trPr>
        <w:tc>
          <w:tcPr>
            <w:tcW w:w="11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798535">
            <w:pPr>
              <w:jc w:val="center"/>
              <w:rPr>
                <w:rFonts w:hint="eastAsia" w:ascii="宋体" w:hAnsi="宋体" w:eastAsia="宋体" w:cs="宋体"/>
                <w:i w:val="0"/>
                <w:iCs w:val="0"/>
                <w:color w:val="000000"/>
                <w:sz w:val="18"/>
                <w:szCs w:val="18"/>
                <w:u w:val="none" w:color="auto"/>
              </w:rPr>
            </w:pP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360E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其他资金</w:t>
            </w:r>
          </w:p>
        </w:tc>
        <w:tc>
          <w:tcPr>
            <w:tcW w:w="14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E2EEEF">
            <w:pPr>
              <w:keepNext w:val="0"/>
              <w:keepLines w:val="0"/>
              <w:widowControl/>
              <w:suppressLineNumbers w:val="0"/>
              <w:jc w:val="lef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0</w:t>
            </w:r>
          </w:p>
        </w:tc>
        <w:tc>
          <w:tcPr>
            <w:tcW w:w="10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0460B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0</w:t>
            </w:r>
          </w:p>
        </w:tc>
        <w:tc>
          <w:tcPr>
            <w:tcW w:w="161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D73EE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0</w:t>
            </w:r>
          </w:p>
        </w:tc>
        <w:tc>
          <w:tcPr>
            <w:tcW w:w="70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853DD">
            <w:pPr>
              <w:keepNext w:val="0"/>
              <w:keepLines w:val="0"/>
              <w:widowControl/>
              <w:suppressLineNumbers w:val="0"/>
              <w:jc w:val="center"/>
              <w:textAlignment w:val="center"/>
              <w:rPr>
                <w:rFonts w:hint="default" w:ascii="Arial" w:hAnsi="Arial" w:eastAsia="宋体" w:cs="Arial"/>
                <w:i w:val="0"/>
                <w:iCs w:val="0"/>
                <w:color w:val="222222"/>
                <w:sz w:val="19"/>
                <w:szCs w:val="19"/>
                <w:u w:val="none" w:color="auto"/>
              </w:rPr>
            </w:pPr>
            <w:r>
              <w:rPr>
                <w:rFonts w:hint="default" w:ascii="Arial" w:hAnsi="Arial" w:eastAsia="宋体" w:cs="Arial"/>
                <w:i w:val="0"/>
                <w:iCs w:val="0"/>
                <w:color w:val="222222"/>
                <w:kern w:val="0"/>
                <w:sz w:val="19"/>
                <w:szCs w:val="19"/>
                <w:u w:val="none" w:color="auto"/>
                <w:lang w:val="en-US" w:eastAsia="zh-CN" w:bidi="ar"/>
              </w:rPr>
              <w:t>——</w:t>
            </w:r>
          </w:p>
        </w:tc>
        <w:tc>
          <w:tcPr>
            <w:tcW w:w="124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8BA771">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0</w:t>
            </w:r>
          </w:p>
        </w:tc>
        <w:tc>
          <w:tcPr>
            <w:tcW w:w="284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C8300">
            <w:pPr>
              <w:keepNext w:val="0"/>
              <w:keepLines w:val="0"/>
              <w:widowControl/>
              <w:suppressLineNumbers w:val="0"/>
              <w:jc w:val="center"/>
              <w:textAlignment w:val="center"/>
              <w:rPr>
                <w:rFonts w:hint="default" w:ascii="Arial" w:hAnsi="Arial" w:eastAsia="宋体" w:cs="Arial"/>
                <w:i w:val="0"/>
                <w:iCs w:val="0"/>
                <w:color w:val="222222"/>
                <w:sz w:val="19"/>
                <w:szCs w:val="19"/>
                <w:u w:val="none" w:color="auto"/>
              </w:rPr>
            </w:pPr>
            <w:r>
              <w:rPr>
                <w:rFonts w:hint="default" w:ascii="Arial" w:hAnsi="Arial" w:eastAsia="宋体" w:cs="Arial"/>
                <w:i w:val="0"/>
                <w:iCs w:val="0"/>
                <w:color w:val="222222"/>
                <w:kern w:val="0"/>
                <w:sz w:val="19"/>
                <w:szCs w:val="19"/>
                <w:u w:val="none" w:color="auto"/>
                <w:lang w:val="en-US" w:eastAsia="zh-CN" w:bidi="ar"/>
              </w:rPr>
              <w:t>——</w:t>
            </w:r>
          </w:p>
        </w:tc>
      </w:tr>
      <w:tr w14:paraId="2D664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113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7F6826">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年度总体目标</w:t>
            </w:r>
          </w:p>
        </w:tc>
        <w:tc>
          <w:tcPr>
            <w:tcW w:w="419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AC985F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预期目标</w:t>
            </w:r>
          </w:p>
        </w:tc>
        <w:tc>
          <w:tcPr>
            <w:tcW w:w="5594"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5727311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实际完成情况</w:t>
            </w:r>
          </w:p>
        </w:tc>
      </w:tr>
      <w:tr w14:paraId="64039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11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45E5B9">
            <w:pPr>
              <w:jc w:val="center"/>
              <w:rPr>
                <w:rFonts w:hint="eastAsia" w:ascii="宋体" w:hAnsi="宋体" w:eastAsia="宋体" w:cs="宋体"/>
                <w:i w:val="0"/>
                <w:iCs w:val="0"/>
                <w:color w:val="000000"/>
                <w:sz w:val="18"/>
                <w:szCs w:val="18"/>
                <w:u w:val="none" w:color="auto"/>
              </w:rPr>
            </w:pPr>
          </w:p>
        </w:tc>
        <w:tc>
          <w:tcPr>
            <w:tcW w:w="419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F2EC5E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 xml:space="preserve"> 目标1：推进卫生健康工作，提升人民群众健康水平；</w:t>
            </w:r>
            <w:r>
              <w:rPr>
                <w:rFonts w:hint="eastAsia" w:ascii="宋体" w:hAnsi="宋体" w:eastAsia="宋体" w:cs="宋体"/>
                <w:i w:val="0"/>
                <w:iCs w:val="0"/>
                <w:color w:val="000000"/>
                <w:kern w:val="0"/>
                <w:sz w:val="18"/>
                <w:szCs w:val="18"/>
                <w:u w:val="none" w:color="auto"/>
                <w:lang w:val="en-US" w:eastAsia="zh-CN" w:bidi="ar"/>
              </w:rPr>
              <w:br w:type="textWrapping"/>
            </w:r>
            <w:r>
              <w:rPr>
                <w:rFonts w:hint="eastAsia" w:ascii="宋体" w:hAnsi="宋体" w:eastAsia="宋体" w:cs="宋体"/>
                <w:i w:val="0"/>
                <w:iCs w:val="0"/>
                <w:color w:val="000000"/>
                <w:kern w:val="0"/>
                <w:sz w:val="18"/>
                <w:szCs w:val="18"/>
                <w:u w:val="none" w:color="auto"/>
                <w:lang w:val="en-US" w:eastAsia="zh-CN" w:bidi="ar"/>
              </w:rPr>
              <w:t xml:space="preserve"> 目标2：全面落实计划生育奖励、特别扶助等到政策实施；</w:t>
            </w:r>
            <w:r>
              <w:rPr>
                <w:rFonts w:hint="eastAsia" w:ascii="宋体" w:hAnsi="宋体" w:eastAsia="宋体" w:cs="宋体"/>
                <w:i w:val="0"/>
                <w:iCs w:val="0"/>
                <w:color w:val="000000"/>
                <w:kern w:val="0"/>
                <w:sz w:val="18"/>
                <w:szCs w:val="18"/>
                <w:u w:val="none" w:color="auto"/>
                <w:lang w:val="en-US" w:eastAsia="zh-CN" w:bidi="ar"/>
              </w:rPr>
              <w:br w:type="textWrapping"/>
            </w:r>
            <w:r>
              <w:rPr>
                <w:rFonts w:hint="eastAsia" w:ascii="宋体" w:hAnsi="宋体" w:eastAsia="宋体" w:cs="宋体"/>
                <w:i w:val="0"/>
                <w:iCs w:val="0"/>
                <w:color w:val="000000"/>
                <w:kern w:val="0"/>
                <w:sz w:val="18"/>
                <w:szCs w:val="18"/>
                <w:u w:val="none" w:color="auto"/>
                <w:lang w:val="en-US" w:eastAsia="zh-CN" w:bidi="ar"/>
              </w:rPr>
              <w:t xml:space="preserve"> 目标3：加强流动人口服务管理,全面落实施基本公共卫生均等化服务。</w:t>
            </w:r>
          </w:p>
        </w:tc>
        <w:tc>
          <w:tcPr>
            <w:tcW w:w="5594"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4E0CC75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目标1：推进卫生健康工作，提升人民群众健康水平；  目标2：全面落实计划生育奖励、特别扶助等到政策实施；  目标3：加强流动人口服务管理,全面落实施基本公共卫生均等化服务。</w:t>
            </w:r>
          </w:p>
        </w:tc>
      </w:tr>
      <w:tr w14:paraId="6ABED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5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5196C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绩效指标</w:t>
            </w:r>
          </w:p>
        </w:tc>
        <w:tc>
          <w:tcPr>
            <w:tcW w:w="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3E1D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一级指标</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45CE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二级指标</w:t>
            </w:r>
          </w:p>
        </w:tc>
        <w:tc>
          <w:tcPr>
            <w:tcW w:w="14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1C645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三级指标</w:t>
            </w:r>
          </w:p>
        </w:tc>
        <w:tc>
          <w:tcPr>
            <w:tcW w:w="5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3EAE4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指标性质</w:t>
            </w:r>
          </w:p>
        </w:tc>
        <w:tc>
          <w:tcPr>
            <w:tcW w:w="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0F4B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指标方向</w:t>
            </w:r>
          </w:p>
        </w:tc>
        <w:tc>
          <w:tcPr>
            <w:tcW w:w="8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01579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年度指标值</w:t>
            </w:r>
          </w:p>
        </w:tc>
        <w:tc>
          <w:tcPr>
            <w:tcW w:w="8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08869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实际完成值</w:t>
            </w:r>
          </w:p>
        </w:tc>
        <w:tc>
          <w:tcPr>
            <w:tcW w:w="7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12D36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计量单位</w:t>
            </w:r>
          </w:p>
        </w:tc>
        <w:tc>
          <w:tcPr>
            <w:tcW w:w="5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5071E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分值</w:t>
            </w:r>
          </w:p>
        </w:tc>
        <w:tc>
          <w:tcPr>
            <w:tcW w:w="7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61ECC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得分</w:t>
            </w:r>
          </w:p>
        </w:tc>
        <w:tc>
          <w:tcPr>
            <w:tcW w:w="28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47B8F4">
            <w:pPr>
              <w:keepNext w:val="0"/>
              <w:keepLines w:val="0"/>
              <w:widowControl/>
              <w:suppressLineNumbers w:val="0"/>
              <w:jc w:val="lef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偏差原因分析及改进措施</w:t>
            </w:r>
          </w:p>
        </w:tc>
      </w:tr>
      <w:tr w14:paraId="6EC58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6" w:hRule="atLeast"/>
        </w:trPr>
        <w:tc>
          <w:tcPr>
            <w:tcW w:w="543"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73990881">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绩效指标</w:t>
            </w:r>
          </w:p>
        </w:tc>
        <w:tc>
          <w:tcPr>
            <w:tcW w:w="592" w:type="dxa"/>
            <w:vMerge w:val="restart"/>
            <w:tcBorders>
              <w:top w:val="single" w:color="000000" w:sz="4" w:space="0"/>
              <w:left w:val="single" w:color="000000" w:sz="4" w:space="0"/>
              <w:bottom w:val="nil"/>
              <w:right w:val="single" w:color="000000" w:sz="4" w:space="0"/>
            </w:tcBorders>
            <w:shd w:val="clear" w:color="auto" w:fill="auto"/>
            <w:vAlign w:val="center"/>
          </w:tcPr>
          <w:p w14:paraId="09A02B5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产出指标</w:t>
            </w:r>
          </w:p>
        </w:tc>
        <w:tc>
          <w:tcPr>
            <w:tcW w:w="821" w:type="dxa"/>
            <w:vMerge w:val="restart"/>
            <w:tcBorders>
              <w:top w:val="single" w:color="000000" w:sz="4" w:space="0"/>
              <w:left w:val="single" w:color="000000" w:sz="4" w:space="0"/>
              <w:bottom w:val="nil"/>
              <w:right w:val="single" w:color="000000" w:sz="4" w:space="0"/>
            </w:tcBorders>
            <w:shd w:val="clear" w:color="auto" w:fill="auto"/>
            <w:vAlign w:val="center"/>
          </w:tcPr>
          <w:p w14:paraId="52357836">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数量指标</w:t>
            </w:r>
          </w:p>
        </w:tc>
        <w:tc>
          <w:tcPr>
            <w:tcW w:w="1475" w:type="dxa"/>
            <w:gridSpan w:val="3"/>
            <w:tcBorders>
              <w:top w:val="single" w:color="000000" w:sz="4" w:space="0"/>
              <w:left w:val="single" w:color="000000" w:sz="4" w:space="0"/>
              <w:bottom w:val="nil"/>
              <w:right w:val="single" w:color="000000" w:sz="4" w:space="0"/>
            </w:tcBorders>
            <w:shd w:val="clear" w:color="auto" w:fill="auto"/>
            <w:vAlign w:val="center"/>
          </w:tcPr>
          <w:p w14:paraId="6B31292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卫生计生政策宣传签约主流媒体数</w:t>
            </w:r>
          </w:p>
        </w:tc>
        <w:tc>
          <w:tcPr>
            <w:tcW w:w="543" w:type="dxa"/>
            <w:gridSpan w:val="2"/>
            <w:tcBorders>
              <w:top w:val="single" w:color="000000" w:sz="4" w:space="0"/>
              <w:left w:val="single" w:color="000000" w:sz="4" w:space="0"/>
              <w:bottom w:val="nil"/>
              <w:right w:val="single" w:color="000000" w:sz="4" w:space="0"/>
            </w:tcBorders>
            <w:shd w:val="clear" w:color="auto" w:fill="auto"/>
            <w:vAlign w:val="center"/>
          </w:tcPr>
          <w:p w14:paraId="647E905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543" w:type="dxa"/>
            <w:tcBorders>
              <w:top w:val="single" w:color="000000" w:sz="4" w:space="0"/>
              <w:left w:val="single" w:color="000000" w:sz="4" w:space="0"/>
              <w:bottom w:val="nil"/>
              <w:right w:val="single" w:color="000000" w:sz="4" w:space="0"/>
            </w:tcBorders>
            <w:shd w:val="clear" w:color="auto" w:fill="auto"/>
            <w:vAlign w:val="center"/>
          </w:tcPr>
          <w:p w14:paraId="2F128FE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大于等于</w:t>
            </w:r>
          </w:p>
        </w:tc>
        <w:tc>
          <w:tcPr>
            <w:tcW w:w="809" w:type="dxa"/>
            <w:gridSpan w:val="3"/>
            <w:tcBorders>
              <w:top w:val="single" w:color="000000" w:sz="4" w:space="0"/>
              <w:left w:val="single" w:color="000000" w:sz="4" w:space="0"/>
              <w:bottom w:val="nil"/>
              <w:right w:val="single" w:color="000000" w:sz="4" w:space="0"/>
            </w:tcBorders>
            <w:shd w:val="clear" w:color="auto" w:fill="auto"/>
            <w:vAlign w:val="center"/>
          </w:tcPr>
          <w:p w14:paraId="5373B18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2</w:t>
            </w:r>
          </w:p>
        </w:tc>
        <w:tc>
          <w:tcPr>
            <w:tcW w:w="809" w:type="dxa"/>
            <w:gridSpan w:val="2"/>
            <w:tcBorders>
              <w:top w:val="single" w:color="000000" w:sz="4" w:space="0"/>
              <w:left w:val="single" w:color="000000" w:sz="4" w:space="0"/>
              <w:bottom w:val="nil"/>
              <w:right w:val="single" w:color="000000" w:sz="4" w:space="0"/>
            </w:tcBorders>
            <w:shd w:val="clear" w:color="auto" w:fill="auto"/>
            <w:vAlign w:val="center"/>
          </w:tcPr>
          <w:p w14:paraId="3FE3CDC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2</w:t>
            </w:r>
          </w:p>
        </w:tc>
        <w:tc>
          <w:tcPr>
            <w:tcW w:w="703" w:type="dxa"/>
            <w:gridSpan w:val="2"/>
            <w:tcBorders>
              <w:top w:val="single" w:color="000000" w:sz="4" w:space="0"/>
              <w:left w:val="single" w:color="000000" w:sz="4" w:space="0"/>
              <w:bottom w:val="nil"/>
              <w:right w:val="single" w:color="000000" w:sz="4" w:space="0"/>
            </w:tcBorders>
            <w:shd w:val="clear" w:color="auto" w:fill="auto"/>
            <w:vAlign w:val="center"/>
          </w:tcPr>
          <w:p w14:paraId="484D423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个</w:t>
            </w:r>
          </w:p>
        </w:tc>
        <w:tc>
          <w:tcPr>
            <w:tcW w:w="520" w:type="dxa"/>
            <w:gridSpan w:val="2"/>
            <w:tcBorders>
              <w:top w:val="single" w:color="000000" w:sz="4" w:space="0"/>
              <w:left w:val="single" w:color="000000" w:sz="4" w:space="0"/>
              <w:bottom w:val="nil"/>
              <w:right w:val="single" w:color="000000" w:sz="4" w:space="0"/>
            </w:tcBorders>
            <w:shd w:val="clear" w:color="auto" w:fill="auto"/>
            <w:vAlign w:val="center"/>
          </w:tcPr>
          <w:p w14:paraId="3E5A053A">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2</w:t>
            </w:r>
          </w:p>
        </w:tc>
        <w:tc>
          <w:tcPr>
            <w:tcW w:w="722" w:type="dxa"/>
            <w:gridSpan w:val="3"/>
            <w:tcBorders>
              <w:top w:val="single" w:color="000000" w:sz="4" w:space="0"/>
              <w:left w:val="single" w:color="000000" w:sz="4" w:space="0"/>
              <w:bottom w:val="nil"/>
              <w:right w:val="single" w:color="000000" w:sz="4" w:space="0"/>
            </w:tcBorders>
            <w:shd w:val="clear" w:color="auto" w:fill="auto"/>
            <w:vAlign w:val="center"/>
          </w:tcPr>
          <w:p w14:paraId="49EC91C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2</w:t>
            </w:r>
          </w:p>
        </w:tc>
        <w:tc>
          <w:tcPr>
            <w:tcW w:w="2840" w:type="dxa"/>
            <w:gridSpan w:val="3"/>
            <w:tcBorders>
              <w:top w:val="single" w:color="000000" w:sz="4" w:space="0"/>
              <w:left w:val="single" w:color="000000" w:sz="4" w:space="0"/>
              <w:bottom w:val="nil"/>
              <w:right w:val="single" w:color="000000" w:sz="4" w:space="0"/>
            </w:tcBorders>
            <w:shd w:val="clear" w:color="auto" w:fill="auto"/>
            <w:vAlign w:val="center"/>
          </w:tcPr>
          <w:p w14:paraId="68E63F07">
            <w:pPr>
              <w:jc w:val="center"/>
              <w:rPr>
                <w:rFonts w:hint="eastAsia" w:ascii="宋体" w:hAnsi="宋体" w:eastAsia="宋体" w:cs="宋体"/>
                <w:i w:val="0"/>
                <w:iCs w:val="0"/>
                <w:color w:val="000000"/>
                <w:sz w:val="18"/>
                <w:szCs w:val="18"/>
                <w:u w:val="none" w:color="auto"/>
              </w:rPr>
            </w:pPr>
          </w:p>
        </w:tc>
      </w:tr>
      <w:tr w14:paraId="1BE20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7" w:hRule="atLeast"/>
        </w:trPr>
        <w:tc>
          <w:tcPr>
            <w:tcW w:w="543"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7C7D0241">
            <w:pPr>
              <w:jc w:val="center"/>
              <w:rPr>
                <w:rFonts w:hint="eastAsia" w:ascii="宋体" w:hAnsi="宋体" w:eastAsia="宋体" w:cs="宋体"/>
                <w:i w:val="0"/>
                <w:iCs w:val="0"/>
                <w:color w:val="000000"/>
                <w:sz w:val="18"/>
                <w:szCs w:val="18"/>
                <w:u w:val="none" w:color="auto"/>
              </w:rPr>
            </w:pPr>
          </w:p>
        </w:tc>
        <w:tc>
          <w:tcPr>
            <w:tcW w:w="592" w:type="dxa"/>
            <w:vMerge w:val="continue"/>
            <w:tcBorders>
              <w:top w:val="single" w:color="000000" w:sz="4" w:space="0"/>
              <w:left w:val="single" w:color="000000" w:sz="4" w:space="0"/>
              <w:bottom w:val="nil"/>
              <w:right w:val="single" w:color="000000" w:sz="4" w:space="0"/>
            </w:tcBorders>
            <w:shd w:val="clear" w:color="auto" w:fill="auto"/>
            <w:vAlign w:val="center"/>
          </w:tcPr>
          <w:p w14:paraId="7C4FDA99">
            <w:pPr>
              <w:jc w:val="center"/>
              <w:rPr>
                <w:rFonts w:hint="eastAsia" w:ascii="宋体" w:hAnsi="宋体" w:eastAsia="宋体" w:cs="宋体"/>
                <w:i w:val="0"/>
                <w:iCs w:val="0"/>
                <w:color w:val="000000"/>
                <w:sz w:val="18"/>
                <w:szCs w:val="18"/>
                <w:u w:val="none" w:color="auto"/>
              </w:rPr>
            </w:pPr>
          </w:p>
        </w:tc>
        <w:tc>
          <w:tcPr>
            <w:tcW w:w="821" w:type="dxa"/>
            <w:vMerge w:val="continue"/>
            <w:tcBorders>
              <w:top w:val="single" w:color="000000" w:sz="4" w:space="0"/>
              <w:left w:val="single" w:color="000000" w:sz="4" w:space="0"/>
              <w:bottom w:val="nil"/>
              <w:right w:val="single" w:color="000000" w:sz="4" w:space="0"/>
            </w:tcBorders>
            <w:shd w:val="clear" w:color="auto" w:fill="auto"/>
            <w:vAlign w:val="center"/>
          </w:tcPr>
          <w:p w14:paraId="17413A66">
            <w:pPr>
              <w:jc w:val="center"/>
              <w:rPr>
                <w:rFonts w:hint="eastAsia" w:ascii="宋体" w:hAnsi="宋体" w:eastAsia="宋体" w:cs="宋体"/>
                <w:i w:val="0"/>
                <w:iCs w:val="0"/>
                <w:color w:val="000000"/>
                <w:sz w:val="18"/>
                <w:szCs w:val="18"/>
                <w:u w:val="none" w:color="auto"/>
              </w:rPr>
            </w:pPr>
          </w:p>
        </w:tc>
        <w:tc>
          <w:tcPr>
            <w:tcW w:w="1475" w:type="dxa"/>
            <w:gridSpan w:val="3"/>
            <w:tcBorders>
              <w:top w:val="single" w:color="000000" w:sz="4" w:space="0"/>
              <w:left w:val="single" w:color="000000" w:sz="4" w:space="0"/>
              <w:bottom w:val="nil"/>
              <w:right w:val="single" w:color="000000" w:sz="4" w:space="0"/>
            </w:tcBorders>
            <w:shd w:val="clear" w:color="auto" w:fill="auto"/>
            <w:vAlign w:val="center"/>
          </w:tcPr>
          <w:p w14:paraId="2761B54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计划生育特别扶助家庭护理险享受人数</w:t>
            </w:r>
          </w:p>
        </w:tc>
        <w:tc>
          <w:tcPr>
            <w:tcW w:w="543" w:type="dxa"/>
            <w:gridSpan w:val="2"/>
            <w:tcBorders>
              <w:top w:val="single" w:color="000000" w:sz="4" w:space="0"/>
              <w:left w:val="single" w:color="000000" w:sz="4" w:space="0"/>
              <w:bottom w:val="nil"/>
              <w:right w:val="single" w:color="000000" w:sz="4" w:space="0"/>
            </w:tcBorders>
            <w:shd w:val="clear" w:color="auto" w:fill="auto"/>
            <w:vAlign w:val="center"/>
          </w:tcPr>
          <w:p w14:paraId="7A8A4FB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543" w:type="dxa"/>
            <w:tcBorders>
              <w:top w:val="single" w:color="000000" w:sz="4" w:space="0"/>
              <w:left w:val="single" w:color="000000" w:sz="4" w:space="0"/>
              <w:bottom w:val="nil"/>
              <w:right w:val="single" w:color="000000" w:sz="4" w:space="0"/>
            </w:tcBorders>
            <w:shd w:val="clear" w:color="auto" w:fill="auto"/>
            <w:vAlign w:val="center"/>
          </w:tcPr>
          <w:p w14:paraId="3171FB4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大于等于</w:t>
            </w:r>
          </w:p>
        </w:tc>
        <w:tc>
          <w:tcPr>
            <w:tcW w:w="809" w:type="dxa"/>
            <w:gridSpan w:val="3"/>
            <w:tcBorders>
              <w:top w:val="single" w:color="000000" w:sz="4" w:space="0"/>
              <w:left w:val="single" w:color="000000" w:sz="4" w:space="0"/>
              <w:bottom w:val="nil"/>
              <w:right w:val="single" w:color="000000" w:sz="4" w:space="0"/>
            </w:tcBorders>
            <w:shd w:val="clear" w:color="auto" w:fill="auto"/>
            <w:vAlign w:val="center"/>
          </w:tcPr>
          <w:p w14:paraId="1441809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847</w:t>
            </w:r>
          </w:p>
        </w:tc>
        <w:tc>
          <w:tcPr>
            <w:tcW w:w="809" w:type="dxa"/>
            <w:gridSpan w:val="2"/>
            <w:tcBorders>
              <w:top w:val="single" w:color="000000" w:sz="4" w:space="0"/>
              <w:left w:val="single" w:color="000000" w:sz="4" w:space="0"/>
              <w:bottom w:val="nil"/>
              <w:right w:val="single" w:color="000000" w:sz="4" w:space="0"/>
            </w:tcBorders>
            <w:shd w:val="clear" w:color="auto" w:fill="auto"/>
            <w:vAlign w:val="center"/>
          </w:tcPr>
          <w:p w14:paraId="5DBE133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847</w:t>
            </w:r>
          </w:p>
        </w:tc>
        <w:tc>
          <w:tcPr>
            <w:tcW w:w="703" w:type="dxa"/>
            <w:gridSpan w:val="2"/>
            <w:tcBorders>
              <w:top w:val="single" w:color="000000" w:sz="4" w:space="0"/>
              <w:left w:val="single" w:color="000000" w:sz="4" w:space="0"/>
              <w:bottom w:val="nil"/>
              <w:right w:val="single" w:color="000000" w:sz="4" w:space="0"/>
            </w:tcBorders>
            <w:shd w:val="clear" w:color="auto" w:fill="auto"/>
            <w:vAlign w:val="center"/>
          </w:tcPr>
          <w:p w14:paraId="0C6D3BA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人</w:t>
            </w:r>
          </w:p>
        </w:tc>
        <w:tc>
          <w:tcPr>
            <w:tcW w:w="520" w:type="dxa"/>
            <w:gridSpan w:val="2"/>
            <w:tcBorders>
              <w:top w:val="single" w:color="000000" w:sz="4" w:space="0"/>
              <w:left w:val="single" w:color="000000" w:sz="4" w:space="0"/>
              <w:bottom w:val="nil"/>
              <w:right w:val="single" w:color="000000" w:sz="4" w:space="0"/>
            </w:tcBorders>
            <w:shd w:val="clear" w:color="auto" w:fill="auto"/>
            <w:vAlign w:val="center"/>
          </w:tcPr>
          <w:p w14:paraId="3BFB470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2</w:t>
            </w:r>
          </w:p>
        </w:tc>
        <w:tc>
          <w:tcPr>
            <w:tcW w:w="722" w:type="dxa"/>
            <w:gridSpan w:val="3"/>
            <w:tcBorders>
              <w:top w:val="single" w:color="000000" w:sz="4" w:space="0"/>
              <w:left w:val="single" w:color="000000" w:sz="4" w:space="0"/>
              <w:bottom w:val="nil"/>
              <w:right w:val="single" w:color="000000" w:sz="4" w:space="0"/>
            </w:tcBorders>
            <w:shd w:val="clear" w:color="auto" w:fill="auto"/>
            <w:vAlign w:val="center"/>
          </w:tcPr>
          <w:p w14:paraId="4455282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2</w:t>
            </w:r>
          </w:p>
        </w:tc>
        <w:tc>
          <w:tcPr>
            <w:tcW w:w="2840" w:type="dxa"/>
            <w:gridSpan w:val="3"/>
            <w:tcBorders>
              <w:top w:val="single" w:color="000000" w:sz="4" w:space="0"/>
              <w:left w:val="single" w:color="000000" w:sz="4" w:space="0"/>
              <w:bottom w:val="nil"/>
              <w:right w:val="single" w:color="000000" w:sz="4" w:space="0"/>
            </w:tcBorders>
            <w:shd w:val="clear" w:color="auto" w:fill="auto"/>
            <w:vAlign w:val="center"/>
          </w:tcPr>
          <w:p w14:paraId="46B630C3">
            <w:pPr>
              <w:jc w:val="center"/>
              <w:rPr>
                <w:rFonts w:hint="eastAsia" w:ascii="宋体" w:hAnsi="宋体" w:eastAsia="宋体" w:cs="宋体"/>
                <w:i w:val="0"/>
                <w:iCs w:val="0"/>
                <w:color w:val="000000"/>
                <w:sz w:val="18"/>
                <w:szCs w:val="18"/>
                <w:u w:val="none" w:color="auto"/>
              </w:rPr>
            </w:pPr>
          </w:p>
        </w:tc>
      </w:tr>
      <w:tr w14:paraId="1D600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543"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3FBA6739">
            <w:pPr>
              <w:jc w:val="center"/>
              <w:rPr>
                <w:rFonts w:hint="eastAsia" w:ascii="宋体" w:hAnsi="宋体" w:eastAsia="宋体" w:cs="宋体"/>
                <w:i w:val="0"/>
                <w:iCs w:val="0"/>
                <w:color w:val="000000"/>
                <w:sz w:val="18"/>
                <w:szCs w:val="18"/>
                <w:u w:val="none" w:color="auto"/>
              </w:rPr>
            </w:pPr>
          </w:p>
        </w:tc>
        <w:tc>
          <w:tcPr>
            <w:tcW w:w="592" w:type="dxa"/>
            <w:vMerge w:val="continue"/>
            <w:tcBorders>
              <w:top w:val="single" w:color="000000" w:sz="4" w:space="0"/>
              <w:left w:val="single" w:color="000000" w:sz="4" w:space="0"/>
              <w:bottom w:val="nil"/>
              <w:right w:val="single" w:color="000000" w:sz="4" w:space="0"/>
            </w:tcBorders>
            <w:shd w:val="clear" w:color="auto" w:fill="auto"/>
            <w:vAlign w:val="center"/>
          </w:tcPr>
          <w:p w14:paraId="509997C3">
            <w:pPr>
              <w:jc w:val="center"/>
              <w:rPr>
                <w:rFonts w:hint="eastAsia" w:ascii="宋体" w:hAnsi="宋体" w:eastAsia="宋体" w:cs="宋体"/>
                <w:i w:val="0"/>
                <w:iCs w:val="0"/>
                <w:color w:val="000000"/>
                <w:sz w:val="18"/>
                <w:szCs w:val="18"/>
                <w:u w:val="none" w:color="auto"/>
              </w:rPr>
            </w:pPr>
          </w:p>
        </w:tc>
        <w:tc>
          <w:tcPr>
            <w:tcW w:w="821" w:type="dxa"/>
            <w:vMerge w:val="continue"/>
            <w:tcBorders>
              <w:top w:val="single" w:color="000000" w:sz="4" w:space="0"/>
              <w:left w:val="single" w:color="000000" w:sz="4" w:space="0"/>
              <w:bottom w:val="nil"/>
              <w:right w:val="single" w:color="000000" w:sz="4" w:space="0"/>
            </w:tcBorders>
            <w:shd w:val="clear" w:color="auto" w:fill="auto"/>
            <w:vAlign w:val="center"/>
          </w:tcPr>
          <w:p w14:paraId="5D457A18">
            <w:pPr>
              <w:jc w:val="center"/>
              <w:rPr>
                <w:rFonts w:hint="eastAsia" w:ascii="宋体" w:hAnsi="宋体" w:eastAsia="宋体" w:cs="宋体"/>
                <w:i w:val="0"/>
                <w:iCs w:val="0"/>
                <w:color w:val="000000"/>
                <w:sz w:val="18"/>
                <w:szCs w:val="18"/>
                <w:u w:val="none" w:color="auto"/>
              </w:rPr>
            </w:pPr>
          </w:p>
        </w:tc>
        <w:tc>
          <w:tcPr>
            <w:tcW w:w="1475" w:type="dxa"/>
            <w:gridSpan w:val="3"/>
            <w:tcBorders>
              <w:top w:val="single" w:color="000000" w:sz="4" w:space="0"/>
              <w:left w:val="single" w:color="000000" w:sz="4" w:space="0"/>
              <w:bottom w:val="nil"/>
              <w:right w:val="single" w:color="000000" w:sz="4" w:space="0"/>
            </w:tcBorders>
            <w:shd w:val="clear" w:color="auto" w:fill="auto"/>
            <w:vAlign w:val="center"/>
          </w:tcPr>
          <w:p w14:paraId="4CB7A33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卫生计生工作督查指导次数</w:t>
            </w:r>
          </w:p>
        </w:tc>
        <w:tc>
          <w:tcPr>
            <w:tcW w:w="543" w:type="dxa"/>
            <w:gridSpan w:val="2"/>
            <w:tcBorders>
              <w:top w:val="single" w:color="000000" w:sz="4" w:space="0"/>
              <w:left w:val="single" w:color="000000" w:sz="4" w:space="0"/>
              <w:bottom w:val="nil"/>
              <w:right w:val="single" w:color="000000" w:sz="4" w:space="0"/>
            </w:tcBorders>
            <w:shd w:val="clear" w:color="auto" w:fill="auto"/>
            <w:vAlign w:val="center"/>
          </w:tcPr>
          <w:p w14:paraId="669F39F1">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543" w:type="dxa"/>
            <w:tcBorders>
              <w:top w:val="single" w:color="000000" w:sz="4" w:space="0"/>
              <w:left w:val="single" w:color="000000" w:sz="4" w:space="0"/>
              <w:bottom w:val="nil"/>
              <w:right w:val="single" w:color="000000" w:sz="4" w:space="0"/>
            </w:tcBorders>
            <w:shd w:val="clear" w:color="auto" w:fill="auto"/>
            <w:vAlign w:val="center"/>
          </w:tcPr>
          <w:p w14:paraId="4DC3846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大于等于</w:t>
            </w:r>
          </w:p>
        </w:tc>
        <w:tc>
          <w:tcPr>
            <w:tcW w:w="809" w:type="dxa"/>
            <w:gridSpan w:val="3"/>
            <w:tcBorders>
              <w:top w:val="single" w:color="000000" w:sz="4" w:space="0"/>
              <w:left w:val="single" w:color="000000" w:sz="4" w:space="0"/>
              <w:bottom w:val="nil"/>
              <w:right w:val="single" w:color="000000" w:sz="4" w:space="0"/>
            </w:tcBorders>
            <w:shd w:val="clear" w:color="auto" w:fill="auto"/>
            <w:vAlign w:val="center"/>
          </w:tcPr>
          <w:p w14:paraId="3A1C0AC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15</w:t>
            </w:r>
          </w:p>
        </w:tc>
        <w:tc>
          <w:tcPr>
            <w:tcW w:w="809" w:type="dxa"/>
            <w:gridSpan w:val="2"/>
            <w:tcBorders>
              <w:top w:val="single" w:color="000000" w:sz="4" w:space="0"/>
              <w:left w:val="single" w:color="000000" w:sz="4" w:space="0"/>
              <w:bottom w:val="nil"/>
              <w:right w:val="single" w:color="000000" w:sz="4" w:space="0"/>
            </w:tcBorders>
            <w:shd w:val="clear" w:color="auto" w:fill="auto"/>
            <w:vAlign w:val="center"/>
          </w:tcPr>
          <w:p w14:paraId="324B25B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15</w:t>
            </w:r>
          </w:p>
        </w:tc>
        <w:tc>
          <w:tcPr>
            <w:tcW w:w="703" w:type="dxa"/>
            <w:gridSpan w:val="2"/>
            <w:tcBorders>
              <w:top w:val="single" w:color="000000" w:sz="4" w:space="0"/>
              <w:left w:val="single" w:color="000000" w:sz="4" w:space="0"/>
              <w:bottom w:val="nil"/>
              <w:right w:val="single" w:color="000000" w:sz="4" w:space="0"/>
            </w:tcBorders>
            <w:shd w:val="clear" w:color="auto" w:fill="auto"/>
            <w:vAlign w:val="center"/>
          </w:tcPr>
          <w:p w14:paraId="0A5F264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次</w:t>
            </w:r>
          </w:p>
        </w:tc>
        <w:tc>
          <w:tcPr>
            <w:tcW w:w="520" w:type="dxa"/>
            <w:gridSpan w:val="2"/>
            <w:tcBorders>
              <w:top w:val="single" w:color="000000" w:sz="4" w:space="0"/>
              <w:left w:val="single" w:color="000000" w:sz="4" w:space="0"/>
              <w:bottom w:val="nil"/>
              <w:right w:val="single" w:color="000000" w:sz="4" w:space="0"/>
            </w:tcBorders>
            <w:shd w:val="clear" w:color="auto" w:fill="auto"/>
            <w:vAlign w:val="center"/>
          </w:tcPr>
          <w:p w14:paraId="0034F12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2</w:t>
            </w:r>
          </w:p>
        </w:tc>
        <w:tc>
          <w:tcPr>
            <w:tcW w:w="722" w:type="dxa"/>
            <w:gridSpan w:val="3"/>
            <w:tcBorders>
              <w:top w:val="single" w:color="000000" w:sz="4" w:space="0"/>
              <w:left w:val="single" w:color="000000" w:sz="4" w:space="0"/>
              <w:bottom w:val="nil"/>
              <w:right w:val="single" w:color="000000" w:sz="4" w:space="0"/>
            </w:tcBorders>
            <w:shd w:val="clear" w:color="auto" w:fill="auto"/>
            <w:vAlign w:val="center"/>
          </w:tcPr>
          <w:p w14:paraId="04247B4A">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2</w:t>
            </w:r>
          </w:p>
        </w:tc>
        <w:tc>
          <w:tcPr>
            <w:tcW w:w="2840" w:type="dxa"/>
            <w:gridSpan w:val="3"/>
            <w:tcBorders>
              <w:top w:val="single" w:color="000000" w:sz="4" w:space="0"/>
              <w:left w:val="single" w:color="000000" w:sz="4" w:space="0"/>
              <w:bottom w:val="nil"/>
              <w:right w:val="single" w:color="000000" w:sz="4" w:space="0"/>
            </w:tcBorders>
            <w:shd w:val="clear" w:color="auto" w:fill="auto"/>
            <w:vAlign w:val="center"/>
          </w:tcPr>
          <w:p w14:paraId="343ECEB8">
            <w:pPr>
              <w:jc w:val="center"/>
              <w:rPr>
                <w:rFonts w:hint="eastAsia" w:ascii="宋体" w:hAnsi="宋体" w:eastAsia="宋体" w:cs="宋体"/>
                <w:i w:val="0"/>
                <w:iCs w:val="0"/>
                <w:color w:val="000000"/>
                <w:sz w:val="18"/>
                <w:szCs w:val="18"/>
                <w:u w:val="none" w:color="auto"/>
              </w:rPr>
            </w:pPr>
          </w:p>
        </w:tc>
      </w:tr>
      <w:tr w14:paraId="2C10F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543"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390A2547">
            <w:pPr>
              <w:jc w:val="center"/>
              <w:rPr>
                <w:rFonts w:hint="eastAsia" w:ascii="宋体" w:hAnsi="宋体" w:eastAsia="宋体" w:cs="宋体"/>
                <w:i w:val="0"/>
                <w:iCs w:val="0"/>
                <w:color w:val="000000"/>
                <w:sz w:val="18"/>
                <w:szCs w:val="18"/>
                <w:u w:val="none" w:color="auto"/>
              </w:rPr>
            </w:pPr>
          </w:p>
        </w:tc>
        <w:tc>
          <w:tcPr>
            <w:tcW w:w="592" w:type="dxa"/>
            <w:vMerge w:val="continue"/>
            <w:tcBorders>
              <w:top w:val="single" w:color="000000" w:sz="4" w:space="0"/>
              <w:left w:val="single" w:color="000000" w:sz="4" w:space="0"/>
              <w:bottom w:val="nil"/>
              <w:right w:val="single" w:color="000000" w:sz="4" w:space="0"/>
            </w:tcBorders>
            <w:shd w:val="clear" w:color="auto" w:fill="auto"/>
            <w:vAlign w:val="center"/>
          </w:tcPr>
          <w:p w14:paraId="64044C73">
            <w:pPr>
              <w:jc w:val="center"/>
              <w:rPr>
                <w:rFonts w:hint="eastAsia" w:ascii="宋体" w:hAnsi="宋体" w:eastAsia="宋体" w:cs="宋体"/>
                <w:i w:val="0"/>
                <w:iCs w:val="0"/>
                <w:color w:val="000000"/>
                <w:sz w:val="18"/>
                <w:szCs w:val="18"/>
                <w:u w:val="none" w:color="auto"/>
              </w:rPr>
            </w:pPr>
          </w:p>
        </w:tc>
        <w:tc>
          <w:tcPr>
            <w:tcW w:w="821" w:type="dxa"/>
            <w:vMerge w:val="continue"/>
            <w:tcBorders>
              <w:top w:val="single" w:color="000000" w:sz="4" w:space="0"/>
              <w:left w:val="single" w:color="000000" w:sz="4" w:space="0"/>
              <w:bottom w:val="nil"/>
              <w:right w:val="single" w:color="000000" w:sz="4" w:space="0"/>
            </w:tcBorders>
            <w:shd w:val="clear" w:color="auto" w:fill="auto"/>
            <w:vAlign w:val="center"/>
          </w:tcPr>
          <w:p w14:paraId="4FD6CBFD">
            <w:pPr>
              <w:jc w:val="center"/>
              <w:rPr>
                <w:rFonts w:hint="eastAsia" w:ascii="宋体" w:hAnsi="宋体" w:eastAsia="宋体" w:cs="宋体"/>
                <w:i w:val="0"/>
                <w:iCs w:val="0"/>
                <w:color w:val="000000"/>
                <w:sz w:val="18"/>
                <w:szCs w:val="18"/>
                <w:u w:val="none" w:color="auto"/>
              </w:rPr>
            </w:pPr>
          </w:p>
        </w:tc>
        <w:tc>
          <w:tcPr>
            <w:tcW w:w="1475" w:type="dxa"/>
            <w:gridSpan w:val="3"/>
            <w:tcBorders>
              <w:top w:val="single" w:color="000000" w:sz="4" w:space="0"/>
              <w:left w:val="single" w:color="000000" w:sz="4" w:space="0"/>
              <w:bottom w:val="nil"/>
              <w:right w:val="single" w:color="000000" w:sz="4" w:space="0"/>
            </w:tcBorders>
            <w:shd w:val="clear" w:color="auto" w:fill="auto"/>
            <w:vAlign w:val="center"/>
          </w:tcPr>
          <w:p w14:paraId="3477A87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卫生计生工作培训学习次数</w:t>
            </w:r>
          </w:p>
        </w:tc>
        <w:tc>
          <w:tcPr>
            <w:tcW w:w="543" w:type="dxa"/>
            <w:gridSpan w:val="2"/>
            <w:tcBorders>
              <w:top w:val="single" w:color="000000" w:sz="4" w:space="0"/>
              <w:left w:val="single" w:color="000000" w:sz="4" w:space="0"/>
              <w:bottom w:val="nil"/>
              <w:right w:val="single" w:color="000000" w:sz="4" w:space="0"/>
            </w:tcBorders>
            <w:shd w:val="clear" w:color="auto" w:fill="auto"/>
            <w:vAlign w:val="center"/>
          </w:tcPr>
          <w:p w14:paraId="326FC9E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543" w:type="dxa"/>
            <w:tcBorders>
              <w:top w:val="single" w:color="000000" w:sz="4" w:space="0"/>
              <w:left w:val="single" w:color="000000" w:sz="4" w:space="0"/>
              <w:bottom w:val="nil"/>
              <w:right w:val="single" w:color="000000" w:sz="4" w:space="0"/>
            </w:tcBorders>
            <w:shd w:val="clear" w:color="auto" w:fill="auto"/>
            <w:vAlign w:val="center"/>
          </w:tcPr>
          <w:p w14:paraId="72811C1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大于等于</w:t>
            </w:r>
          </w:p>
        </w:tc>
        <w:tc>
          <w:tcPr>
            <w:tcW w:w="809" w:type="dxa"/>
            <w:gridSpan w:val="3"/>
            <w:tcBorders>
              <w:top w:val="single" w:color="000000" w:sz="4" w:space="0"/>
              <w:left w:val="single" w:color="000000" w:sz="4" w:space="0"/>
              <w:bottom w:val="nil"/>
              <w:right w:val="single" w:color="000000" w:sz="4" w:space="0"/>
            </w:tcBorders>
            <w:shd w:val="clear" w:color="auto" w:fill="auto"/>
            <w:vAlign w:val="center"/>
          </w:tcPr>
          <w:p w14:paraId="565BC8E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3</w:t>
            </w:r>
          </w:p>
        </w:tc>
        <w:tc>
          <w:tcPr>
            <w:tcW w:w="809" w:type="dxa"/>
            <w:gridSpan w:val="2"/>
            <w:tcBorders>
              <w:top w:val="single" w:color="000000" w:sz="4" w:space="0"/>
              <w:left w:val="single" w:color="000000" w:sz="4" w:space="0"/>
              <w:bottom w:val="nil"/>
              <w:right w:val="single" w:color="000000" w:sz="4" w:space="0"/>
            </w:tcBorders>
            <w:shd w:val="clear" w:color="auto" w:fill="auto"/>
            <w:vAlign w:val="center"/>
          </w:tcPr>
          <w:p w14:paraId="54516B8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3</w:t>
            </w:r>
          </w:p>
        </w:tc>
        <w:tc>
          <w:tcPr>
            <w:tcW w:w="703" w:type="dxa"/>
            <w:gridSpan w:val="2"/>
            <w:tcBorders>
              <w:top w:val="single" w:color="000000" w:sz="4" w:space="0"/>
              <w:left w:val="single" w:color="000000" w:sz="4" w:space="0"/>
              <w:bottom w:val="nil"/>
              <w:right w:val="single" w:color="000000" w:sz="4" w:space="0"/>
            </w:tcBorders>
            <w:shd w:val="clear" w:color="auto" w:fill="auto"/>
            <w:vAlign w:val="center"/>
          </w:tcPr>
          <w:p w14:paraId="0C782EC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次</w:t>
            </w:r>
          </w:p>
        </w:tc>
        <w:tc>
          <w:tcPr>
            <w:tcW w:w="520" w:type="dxa"/>
            <w:gridSpan w:val="2"/>
            <w:tcBorders>
              <w:top w:val="single" w:color="000000" w:sz="4" w:space="0"/>
              <w:left w:val="single" w:color="000000" w:sz="4" w:space="0"/>
              <w:bottom w:val="nil"/>
              <w:right w:val="single" w:color="000000" w:sz="4" w:space="0"/>
            </w:tcBorders>
            <w:shd w:val="clear" w:color="auto" w:fill="auto"/>
            <w:vAlign w:val="center"/>
          </w:tcPr>
          <w:p w14:paraId="1F79FDD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3</w:t>
            </w:r>
          </w:p>
        </w:tc>
        <w:tc>
          <w:tcPr>
            <w:tcW w:w="722" w:type="dxa"/>
            <w:gridSpan w:val="3"/>
            <w:tcBorders>
              <w:top w:val="single" w:color="000000" w:sz="4" w:space="0"/>
              <w:left w:val="single" w:color="000000" w:sz="4" w:space="0"/>
              <w:bottom w:val="nil"/>
              <w:right w:val="single" w:color="000000" w:sz="4" w:space="0"/>
            </w:tcBorders>
            <w:shd w:val="clear" w:color="auto" w:fill="auto"/>
            <w:vAlign w:val="center"/>
          </w:tcPr>
          <w:p w14:paraId="6DF05726">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3</w:t>
            </w:r>
          </w:p>
        </w:tc>
        <w:tc>
          <w:tcPr>
            <w:tcW w:w="2840" w:type="dxa"/>
            <w:gridSpan w:val="3"/>
            <w:tcBorders>
              <w:top w:val="single" w:color="000000" w:sz="4" w:space="0"/>
              <w:left w:val="single" w:color="000000" w:sz="4" w:space="0"/>
              <w:bottom w:val="nil"/>
              <w:right w:val="single" w:color="000000" w:sz="4" w:space="0"/>
            </w:tcBorders>
            <w:shd w:val="clear" w:color="auto" w:fill="auto"/>
            <w:vAlign w:val="center"/>
          </w:tcPr>
          <w:p w14:paraId="5EFB1988">
            <w:pPr>
              <w:jc w:val="center"/>
              <w:rPr>
                <w:rFonts w:hint="eastAsia" w:ascii="宋体" w:hAnsi="宋体" w:eastAsia="宋体" w:cs="宋体"/>
                <w:i w:val="0"/>
                <w:iCs w:val="0"/>
                <w:color w:val="000000"/>
                <w:sz w:val="18"/>
                <w:szCs w:val="18"/>
                <w:u w:val="none" w:color="auto"/>
              </w:rPr>
            </w:pPr>
          </w:p>
        </w:tc>
      </w:tr>
      <w:tr w14:paraId="381A1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543"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77C159D6">
            <w:pPr>
              <w:jc w:val="center"/>
              <w:rPr>
                <w:rFonts w:hint="eastAsia" w:ascii="宋体" w:hAnsi="宋体" w:eastAsia="宋体" w:cs="宋体"/>
                <w:i w:val="0"/>
                <w:iCs w:val="0"/>
                <w:color w:val="000000"/>
                <w:sz w:val="18"/>
                <w:szCs w:val="18"/>
                <w:u w:val="none" w:color="auto"/>
              </w:rPr>
            </w:pPr>
          </w:p>
        </w:tc>
        <w:tc>
          <w:tcPr>
            <w:tcW w:w="592" w:type="dxa"/>
            <w:vMerge w:val="continue"/>
            <w:tcBorders>
              <w:top w:val="single" w:color="000000" w:sz="4" w:space="0"/>
              <w:left w:val="single" w:color="000000" w:sz="4" w:space="0"/>
              <w:bottom w:val="nil"/>
              <w:right w:val="single" w:color="000000" w:sz="4" w:space="0"/>
            </w:tcBorders>
            <w:shd w:val="clear" w:color="auto" w:fill="auto"/>
            <w:vAlign w:val="center"/>
          </w:tcPr>
          <w:p w14:paraId="7490BD66">
            <w:pPr>
              <w:jc w:val="center"/>
              <w:rPr>
                <w:rFonts w:hint="eastAsia" w:ascii="宋体" w:hAnsi="宋体" w:eastAsia="宋体" w:cs="宋体"/>
                <w:i w:val="0"/>
                <w:iCs w:val="0"/>
                <w:color w:val="000000"/>
                <w:sz w:val="18"/>
                <w:szCs w:val="18"/>
                <w:u w:val="none" w:color="auto"/>
              </w:rPr>
            </w:pPr>
          </w:p>
        </w:tc>
        <w:tc>
          <w:tcPr>
            <w:tcW w:w="821" w:type="dxa"/>
            <w:vMerge w:val="continue"/>
            <w:tcBorders>
              <w:top w:val="single" w:color="000000" w:sz="4" w:space="0"/>
              <w:left w:val="single" w:color="000000" w:sz="4" w:space="0"/>
              <w:bottom w:val="nil"/>
              <w:right w:val="single" w:color="000000" w:sz="4" w:space="0"/>
            </w:tcBorders>
            <w:shd w:val="clear" w:color="auto" w:fill="auto"/>
            <w:vAlign w:val="center"/>
          </w:tcPr>
          <w:p w14:paraId="430727C7">
            <w:pPr>
              <w:jc w:val="center"/>
              <w:rPr>
                <w:rFonts w:hint="eastAsia" w:ascii="宋体" w:hAnsi="宋体" w:eastAsia="宋体" w:cs="宋体"/>
                <w:i w:val="0"/>
                <w:iCs w:val="0"/>
                <w:color w:val="000000"/>
                <w:sz w:val="18"/>
                <w:szCs w:val="18"/>
                <w:u w:val="none" w:color="auto"/>
              </w:rPr>
            </w:pPr>
          </w:p>
        </w:tc>
        <w:tc>
          <w:tcPr>
            <w:tcW w:w="1475" w:type="dxa"/>
            <w:gridSpan w:val="3"/>
            <w:tcBorders>
              <w:top w:val="single" w:color="000000" w:sz="4" w:space="0"/>
              <w:left w:val="single" w:color="000000" w:sz="4" w:space="0"/>
              <w:bottom w:val="nil"/>
              <w:right w:val="single" w:color="000000" w:sz="4" w:space="0"/>
            </w:tcBorders>
            <w:shd w:val="clear" w:color="auto" w:fill="auto"/>
            <w:vAlign w:val="center"/>
          </w:tcPr>
          <w:p w14:paraId="50B7AF0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婴幼儿照护服务指导中心数量</w:t>
            </w:r>
          </w:p>
        </w:tc>
        <w:tc>
          <w:tcPr>
            <w:tcW w:w="543" w:type="dxa"/>
            <w:gridSpan w:val="2"/>
            <w:tcBorders>
              <w:top w:val="single" w:color="000000" w:sz="4" w:space="0"/>
              <w:left w:val="single" w:color="000000" w:sz="4" w:space="0"/>
              <w:bottom w:val="nil"/>
              <w:right w:val="single" w:color="000000" w:sz="4" w:space="0"/>
            </w:tcBorders>
            <w:shd w:val="clear" w:color="auto" w:fill="auto"/>
            <w:vAlign w:val="center"/>
          </w:tcPr>
          <w:p w14:paraId="6C474DA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543" w:type="dxa"/>
            <w:tcBorders>
              <w:top w:val="single" w:color="000000" w:sz="4" w:space="0"/>
              <w:left w:val="single" w:color="000000" w:sz="4" w:space="0"/>
              <w:bottom w:val="nil"/>
              <w:right w:val="single" w:color="000000" w:sz="4" w:space="0"/>
            </w:tcBorders>
            <w:shd w:val="clear" w:color="auto" w:fill="auto"/>
            <w:vAlign w:val="center"/>
          </w:tcPr>
          <w:p w14:paraId="5525965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大于等于</w:t>
            </w:r>
          </w:p>
        </w:tc>
        <w:tc>
          <w:tcPr>
            <w:tcW w:w="809" w:type="dxa"/>
            <w:gridSpan w:val="3"/>
            <w:tcBorders>
              <w:top w:val="single" w:color="000000" w:sz="4" w:space="0"/>
              <w:left w:val="single" w:color="000000" w:sz="4" w:space="0"/>
              <w:bottom w:val="nil"/>
              <w:right w:val="single" w:color="000000" w:sz="4" w:space="0"/>
            </w:tcBorders>
            <w:shd w:val="clear" w:color="auto" w:fill="auto"/>
            <w:vAlign w:val="center"/>
          </w:tcPr>
          <w:p w14:paraId="12155186">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7</w:t>
            </w:r>
          </w:p>
        </w:tc>
        <w:tc>
          <w:tcPr>
            <w:tcW w:w="809" w:type="dxa"/>
            <w:gridSpan w:val="2"/>
            <w:tcBorders>
              <w:top w:val="single" w:color="000000" w:sz="4" w:space="0"/>
              <w:left w:val="single" w:color="000000" w:sz="4" w:space="0"/>
              <w:bottom w:val="nil"/>
              <w:right w:val="single" w:color="000000" w:sz="4" w:space="0"/>
            </w:tcBorders>
            <w:shd w:val="clear" w:color="auto" w:fill="auto"/>
            <w:vAlign w:val="center"/>
          </w:tcPr>
          <w:p w14:paraId="3AF84DB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7</w:t>
            </w:r>
          </w:p>
        </w:tc>
        <w:tc>
          <w:tcPr>
            <w:tcW w:w="703" w:type="dxa"/>
            <w:gridSpan w:val="2"/>
            <w:tcBorders>
              <w:top w:val="single" w:color="000000" w:sz="4" w:space="0"/>
              <w:left w:val="single" w:color="000000" w:sz="4" w:space="0"/>
              <w:bottom w:val="nil"/>
              <w:right w:val="single" w:color="000000" w:sz="4" w:space="0"/>
            </w:tcBorders>
            <w:shd w:val="clear" w:color="auto" w:fill="auto"/>
            <w:vAlign w:val="center"/>
          </w:tcPr>
          <w:p w14:paraId="037A344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个</w:t>
            </w:r>
          </w:p>
        </w:tc>
        <w:tc>
          <w:tcPr>
            <w:tcW w:w="520" w:type="dxa"/>
            <w:gridSpan w:val="2"/>
            <w:tcBorders>
              <w:top w:val="single" w:color="000000" w:sz="4" w:space="0"/>
              <w:left w:val="single" w:color="000000" w:sz="4" w:space="0"/>
              <w:bottom w:val="nil"/>
              <w:right w:val="single" w:color="000000" w:sz="4" w:space="0"/>
            </w:tcBorders>
            <w:shd w:val="clear" w:color="auto" w:fill="auto"/>
            <w:vAlign w:val="center"/>
          </w:tcPr>
          <w:p w14:paraId="31CCB4F6">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3</w:t>
            </w:r>
          </w:p>
        </w:tc>
        <w:tc>
          <w:tcPr>
            <w:tcW w:w="722" w:type="dxa"/>
            <w:gridSpan w:val="3"/>
            <w:tcBorders>
              <w:top w:val="single" w:color="000000" w:sz="4" w:space="0"/>
              <w:left w:val="single" w:color="000000" w:sz="4" w:space="0"/>
              <w:bottom w:val="nil"/>
              <w:right w:val="single" w:color="000000" w:sz="4" w:space="0"/>
            </w:tcBorders>
            <w:shd w:val="clear" w:color="auto" w:fill="auto"/>
            <w:vAlign w:val="center"/>
          </w:tcPr>
          <w:p w14:paraId="6D5D162A">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3</w:t>
            </w:r>
          </w:p>
        </w:tc>
        <w:tc>
          <w:tcPr>
            <w:tcW w:w="2840" w:type="dxa"/>
            <w:gridSpan w:val="3"/>
            <w:tcBorders>
              <w:top w:val="single" w:color="000000" w:sz="4" w:space="0"/>
              <w:left w:val="single" w:color="000000" w:sz="4" w:space="0"/>
              <w:bottom w:val="nil"/>
              <w:right w:val="single" w:color="000000" w:sz="4" w:space="0"/>
            </w:tcBorders>
            <w:shd w:val="clear" w:color="auto" w:fill="auto"/>
            <w:vAlign w:val="center"/>
          </w:tcPr>
          <w:p w14:paraId="6CB9918C">
            <w:pPr>
              <w:jc w:val="center"/>
              <w:rPr>
                <w:rFonts w:hint="eastAsia" w:ascii="宋体" w:hAnsi="宋体" w:eastAsia="宋体" w:cs="宋体"/>
                <w:i w:val="0"/>
                <w:iCs w:val="0"/>
                <w:color w:val="000000"/>
                <w:sz w:val="18"/>
                <w:szCs w:val="18"/>
                <w:u w:val="none" w:color="auto"/>
              </w:rPr>
            </w:pPr>
          </w:p>
        </w:tc>
      </w:tr>
      <w:tr w14:paraId="2499E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543"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7DADC746">
            <w:pPr>
              <w:jc w:val="center"/>
              <w:rPr>
                <w:rFonts w:hint="eastAsia" w:ascii="宋体" w:hAnsi="宋体" w:eastAsia="宋体" w:cs="宋体"/>
                <w:i w:val="0"/>
                <w:iCs w:val="0"/>
                <w:color w:val="000000"/>
                <w:sz w:val="18"/>
                <w:szCs w:val="18"/>
                <w:u w:val="none" w:color="auto"/>
              </w:rPr>
            </w:pPr>
          </w:p>
        </w:tc>
        <w:tc>
          <w:tcPr>
            <w:tcW w:w="592" w:type="dxa"/>
            <w:vMerge w:val="continue"/>
            <w:tcBorders>
              <w:top w:val="single" w:color="000000" w:sz="4" w:space="0"/>
              <w:left w:val="single" w:color="000000" w:sz="4" w:space="0"/>
              <w:bottom w:val="nil"/>
              <w:right w:val="single" w:color="000000" w:sz="4" w:space="0"/>
            </w:tcBorders>
            <w:shd w:val="clear" w:color="auto" w:fill="auto"/>
            <w:vAlign w:val="center"/>
          </w:tcPr>
          <w:p w14:paraId="1327565C">
            <w:pPr>
              <w:jc w:val="center"/>
              <w:rPr>
                <w:rFonts w:hint="eastAsia" w:ascii="宋体" w:hAnsi="宋体" w:eastAsia="宋体" w:cs="宋体"/>
                <w:i w:val="0"/>
                <w:iCs w:val="0"/>
                <w:color w:val="000000"/>
                <w:sz w:val="18"/>
                <w:szCs w:val="18"/>
                <w:u w:val="none" w:color="auto"/>
              </w:rPr>
            </w:pPr>
          </w:p>
        </w:tc>
        <w:tc>
          <w:tcPr>
            <w:tcW w:w="821" w:type="dxa"/>
            <w:vMerge w:val="continue"/>
            <w:tcBorders>
              <w:top w:val="single" w:color="000000" w:sz="4" w:space="0"/>
              <w:left w:val="single" w:color="000000" w:sz="4" w:space="0"/>
              <w:bottom w:val="nil"/>
              <w:right w:val="single" w:color="000000" w:sz="4" w:space="0"/>
            </w:tcBorders>
            <w:shd w:val="clear" w:color="auto" w:fill="auto"/>
            <w:vAlign w:val="center"/>
          </w:tcPr>
          <w:p w14:paraId="5DA2477D">
            <w:pPr>
              <w:jc w:val="center"/>
              <w:rPr>
                <w:rFonts w:hint="eastAsia" w:ascii="宋体" w:hAnsi="宋体" w:eastAsia="宋体" w:cs="宋体"/>
                <w:i w:val="0"/>
                <w:iCs w:val="0"/>
                <w:color w:val="000000"/>
                <w:sz w:val="18"/>
                <w:szCs w:val="18"/>
                <w:u w:val="none" w:color="auto"/>
              </w:rPr>
            </w:pPr>
          </w:p>
        </w:tc>
        <w:tc>
          <w:tcPr>
            <w:tcW w:w="1475" w:type="dxa"/>
            <w:gridSpan w:val="3"/>
            <w:tcBorders>
              <w:top w:val="single" w:color="000000" w:sz="4" w:space="0"/>
              <w:left w:val="single" w:color="000000" w:sz="4" w:space="0"/>
              <w:bottom w:val="nil"/>
              <w:right w:val="single" w:color="000000" w:sz="4" w:space="0"/>
            </w:tcBorders>
            <w:shd w:val="clear" w:color="auto" w:fill="auto"/>
            <w:vAlign w:val="center"/>
          </w:tcPr>
          <w:p w14:paraId="4282EDCA">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安宁疗护试点数量</w:t>
            </w:r>
          </w:p>
        </w:tc>
        <w:tc>
          <w:tcPr>
            <w:tcW w:w="543" w:type="dxa"/>
            <w:gridSpan w:val="2"/>
            <w:tcBorders>
              <w:top w:val="single" w:color="000000" w:sz="4" w:space="0"/>
              <w:left w:val="single" w:color="000000" w:sz="4" w:space="0"/>
              <w:bottom w:val="nil"/>
              <w:right w:val="single" w:color="000000" w:sz="4" w:space="0"/>
            </w:tcBorders>
            <w:shd w:val="clear" w:color="auto" w:fill="auto"/>
            <w:vAlign w:val="center"/>
          </w:tcPr>
          <w:p w14:paraId="7EFF794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543" w:type="dxa"/>
            <w:tcBorders>
              <w:top w:val="single" w:color="000000" w:sz="4" w:space="0"/>
              <w:left w:val="single" w:color="000000" w:sz="4" w:space="0"/>
              <w:bottom w:val="nil"/>
              <w:right w:val="single" w:color="000000" w:sz="4" w:space="0"/>
            </w:tcBorders>
            <w:shd w:val="clear" w:color="auto" w:fill="auto"/>
            <w:vAlign w:val="center"/>
          </w:tcPr>
          <w:p w14:paraId="2F1B81D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等于</w:t>
            </w:r>
          </w:p>
        </w:tc>
        <w:tc>
          <w:tcPr>
            <w:tcW w:w="809" w:type="dxa"/>
            <w:gridSpan w:val="3"/>
            <w:tcBorders>
              <w:top w:val="single" w:color="000000" w:sz="4" w:space="0"/>
              <w:left w:val="single" w:color="000000" w:sz="4" w:space="0"/>
              <w:bottom w:val="nil"/>
              <w:right w:val="single" w:color="000000" w:sz="4" w:space="0"/>
            </w:tcBorders>
            <w:shd w:val="clear" w:color="auto" w:fill="auto"/>
            <w:vAlign w:val="center"/>
          </w:tcPr>
          <w:p w14:paraId="498422FA">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11</w:t>
            </w:r>
          </w:p>
        </w:tc>
        <w:tc>
          <w:tcPr>
            <w:tcW w:w="809" w:type="dxa"/>
            <w:gridSpan w:val="2"/>
            <w:tcBorders>
              <w:top w:val="single" w:color="000000" w:sz="4" w:space="0"/>
              <w:left w:val="single" w:color="000000" w:sz="4" w:space="0"/>
              <w:bottom w:val="nil"/>
              <w:right w:val="single" w:color="000000" w:sz="4" w:space="0"/>
            </w:tcBorders>
            <w:shd w:val="clear" w:color="auto" w:fill="auto"/>
            <w:vAlign w:val="center"/>
          </w:tcPr>
          <w:p w14:paraId="29626D0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11</w:t>
            </w:r>
          </w:p>
        </w:tc>
        <w:tc>
          <w:tcPr>
            <w:tcW w:w="703" w:type="dxa"/>
            <w:gridSpan w:val="2"/>
            <w:tcBorders>
              <w:top w:val="single" w:color="000000" w:sz="4" w:space="0"/>
              <w:left w:val="single" w:color="000000" w:sz="4" w:space="0"/>
              <w:bottom w:val="nil"/>
              <w:right w:val="single" w:color="000000" w:sz="4" w:space="0"/>
            </w:tcBorders>
            <w:shd w:val="clear" w:color="auto" w:fill="auto"/>
            <w:vAlign w:val="center"/>
          </w:tcPr>
          <w:p w14:paraId="530DA5D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个</w:t>
            </w:r>
          </w:p>
        </w:tc>
        <w:tc>
          <w:tcPr>
            <w:tcW w:w="520" w:type="dxa"/>
            <w:gridSpan w:val="2"/>
            <w:tcBorders>
              <w:top w:val="single" w:color="000000" w:sz="4" w:space="0"/>
              <w:left w:val="single" w:color="000000" w:sz="4" w:space="0"/>
              <w:bottom w:val="nil"/>
              <w:right w:val="single" w:color="000000" w:sz="4" w:space="0"/>
            </w:tcBorders>
            <w:shd w:val="clear" w:color="auto" w:fill="auto"/>
            <w:vAlign w:val="center"/>
          </w:tcPr>
          <w:p w14:paraId="69AD882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3</w:t>
            </w:r>
          </w:p>
        </w:tc>
        <w:tc>
          <w:tcPr>
            <w:tcW w:w="722" w:type="dxa"/>
            <w:gridSpan w:val="3"/>
            <w:tcBorders>
              <w:top w:val="single" w:color="000000" w:sz="4" w:space="0"/>
              <w:left w:val="single" w:color="000000" w:sz="4" w:space="0"/>
              <w:bottom w:val="nil"/>
              <w:right w:val="single" w:color="000000" w:sz="4" w:space="0"/>
            </w:tcBorders>
            <w:shd w:val="clear" w:color="auto" w:fill="auto"/>
            <w:vAlign w:val="center"/>
          </w:tcPr>
          <w:p w14:paraId="6AC24461">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3</w:t>
            </w:r>
          </w:p>
        </w:tc>
        <w:tc>
          <w:tcPr>
            <w:tcW w:w="2840" w:type="dxa"/>
            <w:gridSpan w:val="3"/>
            <w:tcBorders>
              <w:top w:val="single" w:color="000000" w:sz="4" w:space="0"/>
              <w:left w:val="single" w:color="000000" w:sz="4" w:space="0"/>
              <w:bottom w:val="nil"/>
              <w:right w:val="single" w:color="000000" w:sz="4" w:space="0"/>
            </w:tcBorders>
            <w:shd w:val="clear" w:color="auto" w:fill="auto"/>
            <w:vAlign w:val="center"/>
          </w:tcPr>
          <w:p w14:paraId="58B59425">
            <w:pPr>
              <w:jc w:val="center"/>
              <w:rPr>
                <w:rFonts w:hint="eastAsia" w:ascii="宋体" w:hAnsi="宋体" w:eastAsia="宋体" w:cs="宋体"/>
                <w:i w:val="0"/>
                <w:iCs w:val="0"/>
                <w:color w:val="000000"/>
                <w:sz w:val="18"/>
                <w:szCs w:val="18"/>
                <w:u w:val="none" w:color="auto"/>
              </w:rPr>
            </w:pPr>
          </w:p>
        </w:tc>
      </w:tr>
      <w:tr w14:paraId="72936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543"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640F1B26">
            <w:pPr>
              <w:jc w:val="center"/>
              <w:rPr>
                <w:rFonts w:hint="eastAsia" w:ascii="宋体" w:hAnsi="宋体" w:eastAsia="宋体" w:cs="宋体"/>
                <w:i w:val="0"/>
                <w:iCs w:val="0"/>
                <w:color w:val="000000"/>
                <w:sz w:val="18"/>
                <w:szCs w:val="18"/>
                <w:u w:val="none" w:color="auto"/>
              </w:rPr>
            </w:pPr>
          </w:p>
        </w:tc>
        <w:tc>
          <w:tcPr>
            <w:tcW w:w="592" w:type="dxa"/>
            <w:vMerge w:val="continue"/>
            <w:tcBorders>
              <w:top w:val="single" w:color="000000" w:sz="4" w:space="0"/>
              <w:left w:val="single" w:color="000000" w:sz="4" w:space="0"/>
              <w:bottom w:val="nil"/>
              <w:right w:val="single" w:color="000000" w:sz="4" w:space="0"/>
            </w:tcBorders>
            <w:shd w:val="clear" w:color="auto" w:fill="auto"/>
            <w:vAlign w:val="center"/>
          </w:tcPr>
          <w:p w14:paraId="58835A53">
            <w:pPr>
              <w:jc w:val="center"/>
              <w:rPr>
                <w:rFonts w:hint="eastAsia" w:ascii="宋体" w:hAnsi="宋体" w:eastAsia="宋体" w:cs="宋体"/>
                <w:i w:val="0"/>
                <w:iCs w:val="0"/>
                <w:color w:val="000000"/>
                <w:sz w:val="18"/>
                <w:szCs w:val="18"/>
                <w:u w:val="none" w:color="auto"/>
              </w:rPr>
            </w:pPr>
          </w:p>
        </w:tc>
        <w:tc>
          <w:tcPr>
            <w:tcW w:w="821" w:type="dxa"/>
            <w:vMerge w:val="restart"/>
            <w:tcBorders>
              <w:top w:val="single" w:color="000000" w:sz="4" w:space="0"/>
              <w:left w:val="single" w:color="000000" w:sz="4" w:space="0"/>
              <w:bottom w:val="nil"/>
              <w:right w:val="single" w:color="000000" w:sz="4" w:space="0"/>
            </w:tcBorders>
            <w:shd w:val="clear" w:color="auto" w:fill="auto"/>
            <w:vAlign w:val="center"/>
          </w:tcPr>
          <w:p w14:paraId="44FC463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质量指标</w:t>
            </w:r>
          </w:p>
        </w:tc>
        <w:tc>
          <w:tcPr>
            <w:tcW w:w="1475" w:type="dxa"/>
            <w:gridSpan w:val="3"/>
            <w:tcBorders>
              <w:top w:val="single" w:color="000000" w:sz="4" w:space="0"/>
              <w:left w:val="single" w:color="000000" w:sz="4" w:space="0"/>
              <w:bottom w:val="nil"/>
              <w:right w:val="single" w:color="000000" w:sz="4" w:space="0"/>
            </w:tcBorders>
            <w:shd w:val="clear" w:color="auto" w:fill="auto"/>
            <w:vAlign w:val="center"/>
          </w:tcPr>
          <w:p w14:paraId="55617B8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育龄群众对享有计划生育权利和健康基础知识知晓率</w:t>
            </w:r>
          </w:p>
        </w:tc>
        <w:tc>
          <w:tcPr>
            <w:tcW w:w="543" w:type="dxa"/>
            <w:gridSpan w:val="2"/>
            <w:tcBorders>
              <w:top w:val="single" w:color="000000" w:sz="4" w:space="0"/>
              <w:left w:val="single" w:color="000000" w:sz="4" w:space="0"/>
              <w:bottom w:val="nil"/>
              <w:right w:val="single" w:color="000000" w:sz="4" w:space="0"/>
            </w:tcBorders>
            <w:shd w:val="clear" w:color="auto" w:fill="auto"/>
            <w:vAlign w:val="center"/>
          </w:tcPr>
          <w:p w14:paraId="10FD36A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543" w:type="dxa"/>
            <w:tcBorders>
              <w:top w:val="single" w:color="000000" w:sz="4" w:space="0"/>
              <w:left w:val="single" w:color="000000" w:sz="4" w:space="0"/>
              <w:bottom w:val="nil"/>
              <w:right w:val="single" w:color="000000" w:sz="4" w:space="0"/>
            </w:tcBorders>
            <w:shd w:val="clear" w:color="auto" w:fill="auto"/>
            <w:vAlign w:val="center"/>
          </w:tcPr>
          <w:p w14:paraId="633E960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大于等于</w:t>
            </w:r>
          </w:p>
        </w:tc>
        <w:tc>
          <w:tcPr>
            <w:tcW w:w="809" w:type="dxa"/>
            <w:gridSpan w:val="3"/>
            <w:tcBorders>
              <w:top w:val="single" w:color="000000" w:sz="4" w:space="0"/>
              <w:left w:val="single" w:color="000000" w:sz="4" w:space="0"/>
              <w:bottom w:val="nil"/>
              <w:right w:val="single" w:color="000000" w:sz="4" w:space="0"/>
            </w:tcBorders>
            <w:shd w:val="clear" w:color="auto" w:fill="auto"/>
            <w:vAlign w:val="center"/>
          </w:tcPr>
          <w:p w14:paraId="357DC46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85</w:t>
            </w:r>
          </w:p>
        </w:tc>
        <w:tc>
          <w:tcPr>
            <w:tcW w:w="809" w:type="dxa"/>
            <w:gridSpan w:val="2"/>
            <w:tcBorders>
              <w:top w:val="single" w:color="000000" w:sz="4" w:space="0"/>
              <w:left w:val="single" w:color="000000" w:sz="4" w:space="0"/>
              <w:bottom w:val="nil"/>
              <w:right w:val="single" w:color="000000" w:sz="4" w:space="0"/>
            </w:tcBorders>
            <w:shd w:val="clear" w:color="auto" w:fill="auto"/>
            <w:vAlign w:val="center"/>
          </w:tcPr>
          <w:p w14:paraId="685FA4B1">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85</w:t>
            </w:r>
          </w:p>
        </w:tc>
        <w:tc>
          <w:tcPr>
            <w:tcW w:w="703" w:type="dxa"/>
            <w:gridSpan w:val="2"/>
            <w:tcBorders>
              <w:top w:val="single" w:color="000000" w:sz="4" w:space="0"/>
              <w:left w:val="single" w:color="000000" w:sz="4" w:space="0"/>
              <w:bottom w:val="nil"/>
              <w:right w:val="single" w:color="000000" w:sz="4" w:space="0"/>
            </w:tcBorders>
            <w:shd w:val="clear" w:color="auto" w:fill="auto"/>
            <w:vAlign w:val="center"/>
          </w:tcPr>
          <w:p w14:paraId="7EFEF476">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w:t>
            </w:r>
          </w:p>
        </w:tc>
        <w:tc>
          <w:tcPr>
            <w:tcW w:w="520" w:type="dxa"/>
            <w:gridSpan w:val="2"/>
            <w:tcBorders>
              <w:top w:val="single" w:color="000000" w:sz="4" w:space="0"/>
              <w:left w:val="single" w:color="000000" w:sz="4" w:space="0"/>
              <w:bottom w:val="nil"/>
              <w:right w:val="single" w:color="000000" w:sz="4" w:space="0"/>
            </w:tcBorders>
            <w:shd w:val="clear" w:color="auto" w:fill="auto"/>
            <w:vAlign w:val="center"/>
          </w:tcPr>
          <w:p w14:paraId="39D1D5E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722" w:type="dxa"/>
            <w:gridSpan w:val="3"/>
            <w:tcBorders>
              <w:top w:val="single" w:color="000000" w:sz="4" w:space="0"/>
              <w:left w:val="single" w:color="000000" w:sz="4" w:space="0"/>
              <w:bottom w:val="nil"/>
              <w:right w:val="single" w:color="000000" w:sz="4" w:space="0"/>
            </w:tcBorders>
            <w:shd w:val="clear" w:color="auto" w:fill="auto"/>
            <w:vAlign w:val="center"/>
          </w:tcPr>
          <w:p w14:paraId="49F26F4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2840" w:type="dxa"/>
            <w:gridSpan w:val="3"/>
            <w:tcBorders>
              <w:top w:val="single" w:color="000000" w:sz="4" w:space="0"/>
              <w:left w:val="single" w:color="000000" w:sz="4" w:space="0"/>
              <w:bottom w:val="nil"/>
              <w:right w:val="single" w:color="000000" w:sz="4" w:space="0"/>
            </w:tcBorders>
            <w:shd w:val="clear" w:color="auto" w:fill="auto"/>
            <w:vAlign w:val="center"/>
          </w:tcPr>
          <w:p w14:paraId="109772C7">
            <w:pPr>
              <w:jc w:val="center"/>
              <w:rPr>
                <w:rFonts w:hint="eastAsia" w:ascii="宋体" w:hAnsi="宋体" w:eastAsia="宋体" w:cs="宋体"/>
                <w:i w:val="0"/>
                <w:iCs w:val="0"/>
                <w:color w:val="000000"/>
                <w:sz w:val="18"/>
                <w:szCs w:val="18"/>
                <w:u w:val="none" w:color="auto"/>
              </w:rPr>
            </w:pPr>
          </w:p>
        </w:tc>
      </w:tr>
      <w:tr w14:paraId="4BBA2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543"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0FAB1DA9">
            <w:pPr>
              <w:jc w:val="center"/>
              <w:rPr>
                <w:rFonts w:hint="eastAsia" w:ascii="宋体" w:hAnsi="宋体" w:eastAsia="宋体" w:cs="宋体"/>
                <w:i w:val="0"/>
                <w:iCs w:val="0"/>
                <w:color w:val="000000"/>
                <w:sz w:val="18"/>
                <w:szCs w:val="18"/>
                <w:u w:val="none" w:color="auto"/>
              </w:rPr>
            </w:pPr>
          </w:p>
        </w:tc>
        <w:tc>
          <w:tcPr>
            <w:tcW w:w="592" w:type="dxa"/>
            <w:vMerge w:val="continue"/>
            <w:tcBorders>
              <w:top w:val="single" w:color="000000" w:sz="4" w:space="0"/>
              <w:left w:val="single" w:color="000000" w:sz="4" w:space="0"/>
              <w:bottom w:val="nil"/>
              <w:right w:val="single" w:color="000000" w:sz="4" w:space="0"/>
            </w:tcBorders>
            <w:shd w:val="clear" w:color="auto" w:fill="auto"/>
            <w:vAlign w:val="center"/>
          </w:tcPr>
          <w:p w14:paraId="5E35015F">
            <w:pPr>
              <w:jc w:val="center"/>
              <w:rPr>
                <w:rFonts w:hint="eastAsia" w:ascii="宋体" w:hAnsi="宋体" w:eastAsia="宋体" w:cs="宋体"/>
                <w:i w:val="0"/>
                <w:iCs w:val="0"/>
                <w:color w:val="000000"/>
                <w:sz w:val="18"/>
                <w:szCs w:val="18"/>
                <w:u w:val="none" w:color="auto"/>
              </w:rPr>
            </w:pPr>
          </w:p>
        </w:tc>
        <w:tc>
          <w:tcPr>
            <w:tcW w:w="821" w:type="dxa"/>
            <w:vMerge w:val="continue"/>
            <w:tcBorders>
              <w:top w:val="single" w:color="000000" w:sz="4" w:space="0"/>
              <w:left w:val="single" w:color="000000" w:sz="4" w:space="0"/>
              <w:bottom w:val="nil"/>
              <w:right w:val="single" w:color="000000" w:sz="4" w:space="0"/>
            </w:tcBorders>
            <w:shd w:val="clear" w:color="auto" w:fill="auto"/>
            <w:vAlign w:val="center"/>
          </w:tcPr>
          <w:p w14:paraId="70DD4F55">
            <w:pPr>
              <w:jc w:val="center"/>
              <w:rPr>
                <w:rFonts w:hint="eastAsia" w:ascii="宋体" w:hAnsi="宋体" w:eastAsia="宋体" w:cs="宋体"/>
                <w:i w:val="0"/>
                <w:iCs w:val="0"/>
                <w:color w:val="000000"/>
                <w:sz w:val="18"/>
                <w:szCs w:val="18"/>
                <w:u w:val="none" w:color="auto"/>
              </w:rPr>
            </w:pPr>
          </w:p>
        </w:tc>
        <w:tc>
          <w:tcPr>
            <w:tcW w:w="1475" w:type="dxa"/>
            <w:gridSpan w:val="3"/>
            <w:tcBorders>
              <w:top w:val="single" w:color="000000" w:sz="4" w:space="0"/>
              <w:left w:val="single" w:color="000000" w:sz="4" w:space="0"/>
              <w:bottom w:val="nil"/>
              <w:right w:val="single" w:color="000000" w:sz="4" w:space="0"/>
            </w:tcBorders>
            <w:shd w:val="clear" w:color="auto" w:fill="auto"/>
            <w:vAlign w:val="center"/>
          </w:tcPr>
          <w:p w14:paraId="52D5164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计划生育特殊家庭护理险覆盖率</w:t>
            </w:r>
          </w:p>
        </w:tc>
        <w:tc>
          <w:tcPr>
            <w:tcW w:w="543" w:type="dxa"/>
            <w:gridSpan w:val="2"/>
            <w:tcBorders>
              <w:top w:val="single" w:color="000000" w:sz="4" w:space="0"/>
              <w:left w:val="single" w:color="000000" w:sz="4" w:space="0"/>
              <w:bottom w:val="nil"/>
              <w:right w:val="single" w:color="000000" w:sz="4" w:space="0"/>
            </w:tcBorders>
            <w:shd w:val="clear" w:color="auto" w:fill="auto"/>
            <w:vAlign w:val="center"/>
          </w:tcPr>
          <w:p w14:paraId="034BC6C1">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543" w:type="dxa"/>
            <w:tcBorders>
              <w:top w:val="single" w:color="000000" w:sz="4" w:space="0"/>
              <w:left w:val="single" w:color="000000" w:sz="4" w:space="0"/>
              <w:bottom w:val="nil"/>
              <w:right w:val="single" w:color="000000" w:sz="4" w:space="0"/>
            </w:tcBorders>
            <w:shd w:val="clear" w:color="auto" w:fill="auto"/>
            <w:vAlign w:val="center"/>
          </w:tcPr>
          <w:p w14:paraId="4C5ABBA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等于</w:t>
            </w:r>
          </w:p>
        </w:tc>
        <w:tc>
          <w:tcPr>
            <w:tcW w:w="809" w:type="dxa"/>
            <w:gridSpan w:val="3"/>
            <w:tcBorders>
              <w:top w:val="single" w:color="000000" w:sz="4" w:space="0"/>
              <w:left w:val="single" w:color="000000" w:sz="4" w:space="0"/>
              <w:bottom w:val="nil"/>
              <w:right w:val="single" w:color="000000" w:sz="4" w:space="0"/>
            </w:tcBorders>
            <w:shd w:val="clear" w:color="auto" w:fill="auto"/>
            <w:vAlign w:val="center"/>
          </w:tcPr>
          <w:p w14:paraId="2E4BC98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100</w:t>
            </w:r>
          </w:p>
        </w:tc>
        <w:tc>
          <w:tcPr>
            <w:tcW w:w="809" w:type="dxa"/>
            <w:gridSpan w:val="2"/>
            <w:tcBorders>
              <w:top w:val="single" w:color="000000" w:sz="4" w:space="0"/>
              <w:left w:val="single" w:color="000000" w:sz="4" w:space="0"/>
              <w:bottom w:val="nil"/>
              <w:right w:val="single" w:color="000000" w:sz="4" w:space="0"/>
            </w:tcBorders>
            <w:shd w:val="clear" w:color="auto" w:fill="auto"/>
            <w:vAlign w:val="center"/>
          </w:tcPr>
          <w:p w14:paraId="71762986">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100</w:t>
            </w:r>
          </w:p>
        </w:tc>
        <w:tc>
          <w:tcPr>
            <w:tcW w:w="703" w:type="dxa"/>
            <w:gridSpan w:val="2"/>
            <w:tcBorders>
              <w:top w:val="single" w:color="000000" w:sz="4" w:space="0"/>
              <w:left w:val="single" w:color="000000" w:sz="4" w:space="0"/>
              <w:bottom w:val="nil"/>
              <w:right w:val="single" w:color="000000" w:sz="4" w:space="0"/>
            </w:tcBorders>
            <w:shd w:val="clear" w:color="auto" w:fill="auto"/>
            <w:vAlign w:val="center"/>
          </w:tcPr>
          <w:p w14:paraId="422575D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w:t>
            </w:r>
          </w:p>
        </w:tc>
        <w:tc>
          <w:tcPr>
            <w:tcW w:w="520" w:type="dxa"/>
            <w:gridSpan w:val="2"/>
            <w:tcBorders>
              <w:top w:val="single" w:color="000000" w:sz="4" w:space="0"/>
              <w:left w:val="single" w:color="000000" w:sz="4" w:space="0"/>
              <w:bottom w:val="nil"/>
              <w:right w:val="single" w:color="000000" w:sz="4" w:space="0"/>
            </w:tcBorders>
            <w:shd w:val="clear" w:color="auto" w:fill="auto"/>
            <w:vAlign w:val="center"/>
          </w:tcPr>
          <w:p w14:paraId="38B5B80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722" w:type="dxa"/>
            <w:gridSpan w:val="3"/>
            <w:tcBorders>
              <w:top w:val="single" w:color="000000" w:sz="4" w:space="0"/>
              <w:left w:val="single" w:color="000000" w:sz="4" w:space="0"/>
              <w:bottom w:val="nil"/>
              <w:right w:val="single" w:color="000000" w:sz="4" w:space="0"/>
            </w:tcBorders>
            <w:shd w:val="clear" w:color="auto" w:fill="auto"/>
            <w:vAlign w:val="center"/>
          </w:tcPr>
          <w:p w14:paraId="46C3A46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2840" w:type="dxa"/>
            <w:gridSpan w:val="3"/>
            <w:tcBorders>
              <w:top w:val="single" w:color="000000" w:sz="4" w:space="0"/>
              <w:left w:val="single" w:color="000000" w:sz="4" w:space="0"/>
              <w:bottom w:val="nil"/>
              <w:right w:val="single" w:color="000000" w:sz="4" w:space="0"/>
            </w:tcBorders>
            <w:shd w:val="clear" w:color="auto" w:fill="auto"/>
            <w:vAlign w:val="center"/>
          </w:tcPr>
          <w:p w14:paraId="30D737CA">
            <w:pPr>
              <w:jc w:val="center"/>
              <w:rPr>
                <w:rFonts w:hint="eastAsia" w:ascii="宋体" w:hAnsi="宋体" w:eastAsia="宋体" w:cs="宋体"/>
                <w:i w:val="0"/>
                <w:iCs w:val="0"/>
                <w:color w:val="000000"/>
                <w:sz w:val="18"/>
                <w:szCs w:val="18"/>
                <w:u w:val="none" w:color="auto"/>
              </w:rPr>
            </w:pPr>
          </w:p>
        </w:tc>
      </w:tr>
      <w:tr w14:paraId="32BDB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543"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232EAD14">
            <w:pPr>
              <w:jc w:val="center"/>
              <w:rPr>
                <w:rFonts w:hint="eastAsia" w:ascii="宋体" w:hAnsi="宋体" w:eastAsia="宋体" w:cs="宋体"/>
                <w:i w:val="0"/>
                <w:iCs w:val="0"/>
                <w:color w:val="000000"/>
                <w:sz w:val="18"/>
                <w:szCs w:val="18"/>
                <w:u w:val="none" w:color="auto"/>
              </w:rPr>
            </w:pPr>
          </w:p>
        </w:tc>
        <w:tc>
          <w:tcPr>
            <w:tcW w:w="592" w:type="dxa"/>
            <w:vMerge w:val="continue"/>
            <w:tcBorders>
              <w:top w:val="single" w:color="000000" w:sz="4" w:space="0"/>
              <w:left w:val="single" w:color="000000" w:sz="4" w:space="0"/>
              <w:bottom w:val="nil"/>
              <w:right w:val="single" w:color="000000" w:sz="4" w:space="0"/>
            </w:tcBorders>
            <w:shd w:val="clear" w:color="auto" w:fill="auto"/>
            <w:vAlign w:val="center"/>
          </w:tcPr>
          <w:p w14:paraId="484162E3">
            <w:pPr>
              <w:jc w:val="center"/>
              <w:rPr>
                <w:rFonts w:hint="eastAsia" w:ascii="宋体" w:hAnsi="宋体" w:eastAsia="宋体" w:cs="宋体"/>
                <w:i w:val="0"/>
                <w:iCs w:val="0"/>
                <w:color w:val="000000"/>
                <w:sz w:val="18"/>
                <w:szCs w:val="18"/>
                <w:u w:val="none" w:color="auto"/>
              </w:rPr>
            </w:pPr>
          </w:p>
        </w:tc>
        <w:tc>
          <w:tcPr>
            <w:tcW w:w="821" w:type="dxa"/>
            <w:vMerge w:val="continue"/>
            <w:tcBorders>
              <w:top w:val="single" w:color="000000" w:sz="4" w:space="0"/>
              <w:left w:val="single" w:color="000000" w:sz="4" w:space="0"/>
              <w:bottom w:val="nil"/>
              <w:right w:val="single" w:color="000000" w:sz="4" w:space="0"/>
            </w:tcBorders>
            <w:shd w:val="clear" w:color="auto" w:fill="auto"/>
            <w:vAlign w:val="center"/>
          </w:tcPr>
          <w:p w14:paraId="75E54E54">
            <w:pPr>
              <w:jc w:val="center"/>
              <w:rPr>
                <w:rFonts w:hint="eastAsia" w:ascii="宋体" w:hAnsi="宋体" w:eastAsia="宋体" w:cs="宋体"/>
                <w:i w:val="0"/>
                <w:iCs w:val="0"/>
                <w:color w:val="000000"/>
                <w:sz w:val="18"/>
                <w:szCs w:val="18"/>
                <w:u w:val="none" w:color="auto"/>
              </w:rPr>
            </w:pPr>
          </w:p>
        </w:tc>
        <w:tc>
          <w:tcPr>
            <w:tcW w:w="1475" w:type="dxa"/>
            <w:gridSpan w:val="3"/>
            <w:tcBorders>
              <w:top w:val="single" w:color="000000" w:sz="4" w:space="0"/>
              <w:left w:val="single" w:color="000000" w:sz="4" w:space="0"/>
              <w:bottom w:val="nil"/>
              <w:right w:val="single" w:color="000000" w:sz="4" w:space="0"/>
            </w:tcBorders>
            <w:shd w:val="clear" w:color="auto" w:fill="auto"/>
            <w:vAlign w:val="center"/>
          </w:tcPr>
          <w:p w14:paraId="4A2764EA">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卫生计生工作督查指导覆盖率</w:t>
            </w:r>
          </w:p>
        </w:tc>
        <w:tc>
          <w:tcPr>
            <w:tcW w:w="543" w:type="dxa"/>
            <w:gridSpan w:val="2"/>
            <w:tcBorders>
              <w:top w:val="single" w:color="000000" w:sz="4" w:space="0"/>
              <w:left w:val="single" w:color="000000" w:sz="4" w:space="0"/>
              <w:bottom w:val="nil"/>
              <w:right w:val="single" w:color="000000" w:sz="4" w:space="0"/>
            </w:tcBorders>
            <w:shd w:val="clear" w:color="auto" w:fill="auto"/>
            <w:vAlign w:val="center"/>
          </w:tcPr>
          <w:p w14:paraId="62E8B14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543" w:type="dxa"/>
            <w:tcBorders>
              <w:top w:val="single" w:color="000000" w:sz="4" w:space="0"/>
              <w:left w:val="single" w:color="000000" w:sz="4" w:space="0"/>
              <w:bottom w:val="nil"/>
              <w:right w:val="single" w:color="000000" w:sz="4" w:space="0"/>
            </w:tcBorders>
            <w:shd w:val="clear" w:color="auto" w:fill="auto"/>
            <w:vAlign w:val="center"/>
          </w:tcPr>
          <w:p w14:paraId="77CBD2B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等于</w:t>
            </w:r>
          </w:p>
        </w:tc>
        <w:tc>
          <w:tcPr>
            <w:tcW w:w="809" w:type="dxa"/>
            <w:gridSpan w:val="3"/>
            <w:tcBorders>
              <w:top w:val="single" w:color="000000" w:sz="4" w:space="0"/>
              <w:left w:val="single" w:color="000000" w:sz="4" w:space="0"/>
              <w:bottom w:val="nil"/>
              <w:right w:val="single" w:color="000000" w:sz="4" w:space="0"/>
            </w:tcBorders>
            <w:shd w:val="clear" w:color="auto" w:fill="auto"/>
            <w:vAlign w:val="center"/>
          </w:tcPr>
          <w:p w14:paraId="09A4A31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100</w:t>
            </w:r>
          </w:p>
        </w:tc>
        <w:tc>
          <w:tcPr>
            <w:tcW w:w="809" w:type="dxa"/>
            <w:gridSpan w:val="2"/>
            <w:tcBorders>
              <w:top w:val="single" w:color="000000" w:sz="4" w:space="0"/>
              <w:left w:val="single" w:color="000000" w:sz="4" w:space="0"/>
              <w:bottom w:val="nil"/>
              <w:right w:val="single" w:color="000000" w:sz="4" w:space="0"/>
            </w:tcBorders>
            <w:shd w:val="clear" w:color="auto" w:fill="auto"/>
            <w:vAlign w:val="center"/>
          </w:tcPr>
          <w:p w14:paraId="5C4523E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100</w:t>
            </w:r>
          </w:p>
        </w:tc>
        <w:tc>
          <w:tcPr>
            <w:tcW w:w="703" w:type="dxa"/>
            <w:gridSpan w:val="2"/>
            <w:tcBorders>
              <w:top w:val="single" w:color="000000" w:sz="4" w:space="0"/>
              <w:left w:val="single" w:color="000000" w:sz="4" w:space="0"/>
              <w:bottom w:val="nil"/>
              <w:right w:val="single" w:color="000000" w:sz="4" w:space="0"/>
            </w:tcBorders>
            <w:shd w:val="clear" w:color="auto" w:fill="auto"/>
            <w:vAlign w:val="center"/>
          </w:tcPr>
          <w:p w14:paraId="4BBD7CB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w:t>
            </w:r>
          </w:p>
        </w:tc>
        <w:tc>
          <w:tcPr>
            <w:tcW w:w="520" w:type="dxa"/>
            <w:gridSpan w:val="2"/>
            <w:tcBorders>
              <w:top w:val="single" w:color="000000" w:sz="4" w:space="0"/>
              <w:left w:val="single" w:color="000000" w:sz="4" w:space="0"/>
              <w:bottom w:val="nil"/>
              <w:right w:val="single" w:color="000000" w:sz="4" w:space="0"/>
            </w:tcBorders>
            <w:shd w:val="clear" w:color="auto" w:fill="auto"/>
            <w:vAlign w:val="center"/>
          </w:tcPr>
          <w:p w14:paraId="57B6770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722" w:type="dxa"/>
            <w:gridSpan w:val="3"/>
            <w:tcBorders>
              <w:top w:val="single" w:color="000000" w:sz="4" w:space="0"/>
              <w:left w:val="single" w:color="000000" w:sz="4" w:space="0"/>
              <w:bottom w:val="nil"/>
              <w:right w:val="single" w:color="000000" w:sz="4" w:space="0"/>
            </w:tcBorders>
            <w:shd w:val="clear" w:color="auto" w:fill="auto"/>
            <w:vAlign w:val="center"/>
          </w:tcPr>
          <w:p w14:paraId="50BE40C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2840" w:type="dxa"/>
            <w:gridSpan w:val="3"/>
            <w:tcBorders>
              <w:top w:val="single" w:color="000000" w:sz="4" w:space="0"/>
              <w:left w:val="single" w:color="000000" w:sz="4" w:space="0"/>
              <w:bottom w:val="nil"/>
              <w:right w:val="single" w:color="000000" w:sz="4" w:space="0"/>
            </w:tcBorders>
            <w:shd w:val="clear" w:color="auto" w:fill="auto"/>
            <w:vAlign w:val="center"/>
          </w:tcPr>
          <w:p w14:paraId="6859044F">
            <w:pPr>
              <w:jc w:val="center"/>
              <w:rPr>
                <w:rFonts w:hint="eastAsia" w:ascii="宋体" w:hAnsi="宋体" w:eastAsia="宋体" w:cs="宋体"/>
                <w:i w:val="0"/>
                <w:iCs w:val="0"/>
                <w:color w:val="000000"/>
                <w:sz w:val="18"/>
                <w:szCs w:val="18"/>
                <w:u w:val="none" w:color="auto"/>
              </w:rPr>
            </w:pPr>
          </w:p>
        </w:tc>
      </w:tr>
      <w:tr w14:paraId="24401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543"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77CC4F1C">
            <w:pPr>
              <w:jc w:val="center"/>
              <w:rPr>
                <w:rFonts w:hint="eastAsia" w:ascii="宋体" w:hAnsi="宋体" w:eastAsia="宋体" w:cs="宋体"/>
                <w:i w:val="0"/>
                <w:iCs w:val="0"/>
                <w:color w:val="000000"/>
                <w:sz w:val="18"/>
                <w:szCs w:val="18"/>
                <w:u w:val="none" w:color="auto"/>
              </w:rPr>
            </w:pPr>
          </w:p>
        </w:tc>
        <w:tc>
          <w:tcPr>
            <w:tcW w:w="592" w:type="dxa"/>
            <w:vMerge w:val="continue"/>
            <w:tcBorders>
              <w:top w:val="single" w:color="000000" w:sz="4" w:space="0"/>
              <w:left w:val="single" w:color="000000" w:sz="4" w:space="0"/>
              <w:bottom w:val="nil"/>
              <w:right w:val="single" w:color="000000" w:sz="4" w:space="0"/>
            </w:tcBorders>
            <w:shd w:val="clear" w:color="auto" w:fill="auto"/>
            <w:vAlign w:val="center"/>
          </w:tcPr>
          <w:p w14:paraId="513BFF42">
            <w:pPr>
              <w:jc w:val="center"/>
              <w:rPr>
                <w:rFonts w:hint="eastAsia" w:ascii="宋体" w:hAnsi="宋体" w:eastAsia="宋体" w:cs="宋体"/>
                <w:i w:val="0"/>
                <w:iCs w:val="0"/>
                <w:color w:val="000000"/>
                <w:sz w:val="18"/>
                <w:szCs w:val="18"/>
                <w:u w:val="none" w:color="auto"/>
              </w:rPr>
            </w:pPr>
          </w:p>
        </w:tc>
        <w:tc>
          <w:tcPr>
            <w:tcW w:w="821" w:type="dxa"/>
            <w:vMerge w:val="restart"/>
            <w:tcBorders>
              <w:top w:val="single" w:color="000000" w:sz="4" w:space="0"/>
              <w:left w:val="single" w:color="000000" w:sz="4" w:space="0"/>
              <w:bottom w:val="nil"/>
              <w:right w:val="single" w:color="000000" w:sz="4" w:space="0"/>
            </w:tcBorders>
            <w:shd w:val="clear" w:color="auto" w:fill="auto"/>
            <w:vAlign w:val="center"/>
          </w:tcPr>
          <w:p w14:paraId="4EA0992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时效指标</w:t>
            </w:r>
          </w:p>
        </w:tc>
        <w:tc>
          <w:tcPr>
            <w:tcW w:w="1475" w:type="dxa"/>
            <w:gridSpan w:val="3"/>
            <w:tcBorders>
              <w:top w:val="single" w:color="000000" w:sz="4" w:space="0"/>
              <w:left w:val="single" w:color="000000" w:sz="4" w:space="0"/>
              <w:bottom w:val="nil"/>
              <w:right w:val="single" w:color="000000" w:sz="4" w:space="0"/>
            </w:tcBorders>
            <w:shd w:val="clear" w:color="auto" w:fill="auto"/>
            <w:vAlign w:val="center"/>
          </w:tcPr>
          <w:p w14:paraId="042687C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项目整体工作完成时间</w:t>
            </w:r>
          </w:p>
        </w:tc>
        <w:tc>
          <w:tcPr>
            <w:tcW w:w="543" w:type="dxa"/>
            <w:gridSpan w:val="2"/>
            <w:tcBorders>
              <w:top w:val="single" w:color="000000" w:sz="4" w:space="0"/>
              <w:left w:val="single" w:color="000000" w:sz="4" w:space="0"/>
              <w:bottom w:val="nil"/>
              <w:right w:val="single" w:color="000000" w:sz="4" w:space="0"/>
            </w:tcBorders>
            <w:shd w:val="clear" w:color="auto" w:fill="auto"/>
            <w:vAlign w:val="center"/>
          </w:tcPr>
          <w:p w14:paraId="6F81EDE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定性</w:t>
            </w:r>
          </w:p>
        </w:tc>
        <w:tc>
          <w:tcPr>
            <w:tcW w:w="543" w:type="dxa"/>
            <w:tcBorders>
              <w:top w:val="single" w:color="000000" w:sz="4" w:space="0"/>
              <w:left w:val="single" w:color="000000" w:sz="4" w:space="0"/>
              <w:bottom w:val="nil"/>
              <w:right w:val="single" w:color="000000" w:sz="4" w:space="0"/>
            </w:tcBorders>
            <w:shd w:val="clear" w:color="auto" w:fill="auto"/>
            <w:vAlign w:val="center"/>
          </w:tcPr>
          <w:p w14:paraId="36A22BAC">
            <w:pPr>
              <w:jc w:val="center"/>
              <w:rPr>
                <w:rFonts w:hint="eastAsia" w:ascii="宋体" w:hAnsi="宋体" w:eastAsia="宋体" w:cs="宋体"/>
                <w:i w:val="0"/>
                <w:iCs w:val="0"/>
                <w:color w:val="000000"/>
                <w:sz w:val="18"/>
                <w:szCs w:val="18"/>
                <w:u w:val="none" w:color="auto"/>
              </w:rPr>
            </w:pPr>
          </w:p>
        </w:tc>
        <w:tc>
          <w:tcPr>
            <w:tcW w:w="809" w:type="dxa"/>
            <w:gridSpan w:val="3"/>
            <w:tcBorders>
              <w:top w:val="single" w:color="000000" w:sz="4" w:space="0"/>
              <w:left w:val="single" w:color="000000" w:sz="4" w:space="0"/>
              <w:bottom w:val="nil"/>
              <w:right w:val="single" w:color="000000" w:sz="4" w:space="0"/>
            </w:tcBorders>
            <w:shd w:val="clear" w:color="auto" w:fill="auto"/>
            <w:vAlign w:val="center"/>
          </w:tcPr>
          <w:p w14:paraId="3B36F93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2025年12月前</w:t>
            </w:r>
          </w:p>
        </w:tc>
        <w:tc>
          <w:tcPr>
            <w:tcW w:w="809" w:type="dxa"/>
            <w:gridSpan w:val="2"/>
            <w:tcBorders>
              <w:top w:val="single" w:color="000000" w:sz="4" w:space="0"/>
              <w:left w:val="single" w:color="000000" w:sz="4" w:space="0"/>
              <w:bottom w:val="nil"/>
              <w:right w:val="single" w:color="000000" w:sz="4" w:space="0"/>
            </w:tcBorders>
            <w:shd w:val="clear" w:color="auto" w:fill="auto"/>
            <w:vAlign w:val="center"/>
          </w:tcPr>
          <w:p w14:paraId="03CBDBB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2025年12月前</w:t>
            </w:r>
          </w:p>
        </w:tc>
        <w:tc>
          <w:tcPr>
            <w:tcW w:w="703" w:type="dxa"/>
            <w:gridSpan w:val="2"/>
            <w:tcBorders>
              <w:top w:val="single" w:color="000000" w:sz="4" w:space="0"/>
              <w:left w:val="single" w:color="000000" w:sz="4" w:space="0"/>
              <w:bottom w:val="nil"/>
              <w:right w:val="single" w:color="000000" w:sz="4" w:space="0"/>
            </w:tcBorders>
            <w:shd w:val="clear" w:color="auto" w:fill="auto"/>
            <w:vAlign w:val="center"/>
          </w:tcPr>
          <w:p w14:paraId="2407130F">
            <w:pPr>
              <w:jc w:val="center"/>
              <w:rPr>
                <w:rFonts w:hint="eastAsia" w:ascii="宋体" w:hAnsi="宋体" w:eastAsia="宋体" w:cs="宋体"/>
                <w:i w:val="0"/>
                <w:iCs w:val="0"/>
                <w:color w:val="000000"/>
                <w:sz w:val="18"/>
                <w:szCs w:val="18"/>
                <w:u w:val="none" w:color="auto"/>
              </w:rPr>
            </w:pPr>
          </w:p>
        </w:tc>
        <w:tc>
          <w:tcPr>
            <w:tcW w:w="520" w:type="dxa"/>
            <w:gridSpan w:val="2"/>
            <w:tcBorders>
              <w:top w:val="single" w:color="000000" w:sz="4" w:space="0"/>
              <w:left w:val="single" w:color="000000" w:sz="4" w:space="0"/>
              <w:bottom w:val="nil"/>
              <w:right w:val="single" w:color="000000" w:sz="4" w:space="0"/>
            </w:tcBorders>
            <w:shd w:val="clear" w:color="auto" w:fill="auto"/>
            <w:vAlign w:val="center"/>
          </w:tcPr>
          <w:p w14:paraId="2CB522F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722" w:type="dxa"/>
            <w:gridSpan w:val="3"/>
            <w:tcBorders>
              <w:top w:val="single" w:color="000000" w:sz="4" w:space="0"/>
              <w:left w:val="single" w:color="000000" w:sz="4" w:space="0"/>
              <w:bottom w:val="nil"/>
              <w:right w:val="single" w:color="000000" w:sz="4" w:space="0"/>
            </w:tcBorders>
            <w:shd w:val="clear" w:color="auto" w:fill="auto"/>
            <w:vAlign w:val="center"/>
          </w:tcPr>
          <w:p w14:paraId="62DB334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2840" w:type="dxa"/>
            <w:gridSpan w:val="3"/>
            <w:tcBorders>
              <w:top w:val="single" w:color="000000" w:sz="4" w:space="0"/>
              <w:left w:val="single" w:color="000000" w:sz="4" w:space="0"/>
              <w:bottom w:val="nil"/>
              <w:right w:val="single" w:color="000000" w:sz="4" w:space="0"/>
            </w:tcBorders>
            <w:shd w:val="clear" w:color="auto" w:fill="auto"/>
            <w:vAlign w:val="center"/>
          </w:tcPr>
          <w:p w14:paraId="3278D3C2">
            <w:pPr>
              <w:jc w:val="center"/>
              <w:rPr>
                <w:rFonts w:hint="eastAsia" w:ascii="宋体" w:hAnsi="宋体" w:eastAsia="宋体" w:cs="宋体"/>
                <w:i w:val="0"/>
                <w:iCs w:val="0"/>
                <w:color w:val="000000"/>
                <w:sz w:val="18"/>
                <w:szCs w:val="18"/>
                <w:u w:val="none" w:color="auto"/>
              </w:rPr>
            </w:pPr>
          </w:p>
        </w:tc>
      </w:tr>
      <w:tr w14:paraId="00FBA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543"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1CCF78AE">
            <w:pPr>
              <w:jc w:val="center"/>
              <w:rPr>
                <w:rFonts w:hint="eastAsia" w:ascii="宋体" w:hAnsi="宋体" w:eastAsia="宋体" w:cs="宋体"/>
                <w:i w:val="0"/>
                <w:iCs w:val="0"/>
                <w:color w:val="000000"/>
                <w:sz w:val="18"/>
                <w:szCs w:val="18"/>
                <w:u w:val="none" w:color="auto"/>
              </w:rPr>
            </w:pPr>
          </w:p>
        </w:tc>
        <w:tc>
          <w:tcPr>
            <w:tcW w:w="592" w:type="dxa"/>
            <w:vMerge w:val="continue"/>
            <w:tcBorders>
              <w:top w:val="single" w:color="000000" w:sz="4" w:space="0"/>
              <w:left w:val="single" w:color="000000" w:sz="4" w:space="0"/>
              <w:bottom w:val="nil"/>
              <w:right w:val="single" w:color="000000" w:sz="4" w:space="0"/>
            </w:tcBorders>
            <w:shd w:val="clear" w:color="auto" w:fill="auto"/>
            <w:vAlign w:val="center"/>
          </w:tcPr>
          <w:p w14:paraId="1F8AAB8E">
            <w:pPr>
              <w:jc w:val="center"/>
              <w:rPr>
                <w:rFonts w:hint="eastAsia" w:ascii="宋体" w:hAnsi="宋体" w:eastAsia="宋体" w:cs="宋体"/>
                <w:i w:val="0"/>
                <w:iCs w:val="0"/>
                <w:color w:val="000000"/>
                <w:sz w:val="18"/>
                <w:szCs w:val="18"/>
                <w:u w:val="none" w:color="auto"/>
              </w:rPr>
            </w:pPr>
          </w:p>
        </w:tc>
        <w:tc>
          <w:tcPr>
            <w:tcW w:w="821" w:type="dxa"/>
            <w:vMerge w:val="continue"/>
            <w:tcBorders>
              <w:top w:val="single" w:color="000000" w:sz="4" w:space="0"/>
              <w:left w:val="single" w:color="000000" w:sz="4" w:space="0"/>
              <w:bottom w:val="nil"/>
              <w:right w:val="single" w:color="000000" w:sz="4" w:space="0"/>
            </w:tcBorders>
            <w:shd w:val="clear" w:color="auto" w:fill="auto"/>
            <w:vAlign w:val="center"/>
          </w:tcPr>
          <w:p w14:paraId="41468DB2">
            <w:pPr>
              <w:jc w:val="center"/>
              <w:rPr>
                <w:rFonts w:hint="eastAsia" w:ascii="宋体" w:hAnsi="宋体" w:eastAsia="宋体" w:cs="宋体"/>
                <w:i w:val="0"/>
                <w:iCs w:val="0"/>
                <w:color w:val="000000"/>
                <w:sz w:val="18"/>
                <w:szCs w:val="18"/>
                <w:u w:val="none" w:color="auto"/>
              </w:rPr>
            </w:pPr>
          </w:p>
        </w:tc>
        <w:tc>
          <w:tcPr>
            <w:tcW w:w="1475" w:type="dxa"/>
            <w:gridSpan w:val="3"/>
            <w:tcBorders>
              <w:top w:val="single" w:color="000000" w:sz="4" w:space="0"/>
              <w:left w:val="single" w:color="000000" w:sz="4" w:space="0"/>
              <w:bottom w:val="nil"/>
              <w:right w:val="single" w:color="000000" w:sz="4" w:space="0"/>
            </w:tcBorders>
            <w:shd w:val="clear" w:color="auto" w:fill="auto"/>
            <w:vAlign w:val="center"/>
          </w:tcPr>
          <w:p w14:paraId="241A807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资金拨付及时率</w:t>
            </w:r>
          </w:p>
        </w:tc>
        <w:tc>
          <w:tcPr>
            <w:tcW w:w="543" w:type="dxa"/>
            <w:gridSpan w:val="2"/>
            <w:tcBorders>
              <w:top w:val="single" w:color="000000" w:sz="4" w:space="0"/>
              <w:left w:val="single" w:color="000000" w:sz="4" w:space="0"/>
              <w:bottom w:val="nil"/>
              <w:right w:val="single" w:color="000000" w:sz="4" w:space="0"/>
            </w:tcBorders>
            <w:shd w:val="clear" w:color="auto" w:fill="auto"/>
            <w:vAlign w:val="center"/>
          </w:tcPr>
          <w:p w14:paraId="79285F1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543" w:type="dxa"/>
            <w:tcBorders>
              <w:top w:val="single" w:color="000000" w:sz="4" w:space="0"/>
              <w:left w:val="single" w:color="000000" w:sz="4" w:space="0"/>
              <w:bottom w:val="nil"/>
              <w:right w:val="single" w:color="000000" w:sz="4" w:space="0"/>
            </w:tcBorders>
            <w:shd w:val="clear" w:color="auto" w:fill="auto"/>
            <w:vAlign w:val="center"/>
          </w:tcPr>
          <w:p w14:paraId="15300686">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等于</w:t>
            </w:r>
          </w:p>
        </w:tc>
        <w:tc>
          <w:tcPr>
            <w:tcW w:w="809" w:type="dxa"/>
            <w:gridSpan w:val="3"/>
            <w:tcBorders>
              <w:top w:val="single" w:color="000000" w:sz="4" w:space="0"/>
              <w:left w:val="single" w:color="000000" w:sz="4" w:space="0"/>
              <w:bottom w:val="nil"/>
              <w:right w:val="single" w:color="000000" w:sz="4" w:space="0"/>
            </w:tcBorders>
            <w:shd w:val="clear" w:color="auto" w:fill="auto"/>
            <w:vAlign w:val="center"/>
          </w:tcPr>
          <w:p w14:paraId="3C64B35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100</w:t>
            </w:r>
          </w:p>
        </w:tc>
        <w:tc>
          <w:tcPr>
            <w:tcW w:w="809" w:type="dxa"/>
            <w:gridSpan w:val="2"/>
            <w:tcBorders>
              <w:top w:val="single" w:color="000000" w:sz="4" w:space="0"/>
              <w:left w:val="single" w:color="000000" w:sz="4" w:space="0"/>
              <w:bottom w:val="nil"/>
              <w:right w:val="single" w:color="000000" w:sz="4" w:space="0"/>
            </w:tcBorders>
            <w:shd w:val="clear" w:color="auto" w:fill="auto"/>
            <w:vAlign w:val="center"/>
          </w:tcPr>
          <w:p w14:paraId="38A307D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100</w:t>
            </w:r>
          </w:p>
        </w:tc>
        <w:tc>
          <w:tcPr>
            <w:tcW w:w="703" w:type="dxa"/>
            <w:gridSpan w:val="2"/>
            <w:tcBorders>
              <w:top w:val="single" w:color="000000" w:sz="4" w:space="0"/>
              <w:left w:val="single" w:color="000000" w:sz="4" w:space="0"/>
              <w:bottom w:val="nil"/>
              <w:right w:val="single" w:color="000000" w:sz="4" w:space="0"/>
            </w:tcBorders>
            <w:shd w:val="clear" w:color="auto" w:fill="auto"/>
            <w:vAlign w:val="center"/>
          </w:tcPr>
          <w:p w14:paraId="6552624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w:t>
            </w:r>
          </w:p>
        </w:tc>
        <w:tc>
          <w:tcPr>
            <w:tcW w:w="520" w:type="dxa"/>
            <w:gridSpan w:val="2"/>
            <w:tcBorders>
              <w:top w:val="single" w:color="000000" w:sz="4" w:space="0"/>
              <w:left w:val="single" w:color="000000" w:sz="4" w:space="0"/>
              <w:bottom w:val="nil"/>
              <w:right w:val="single" w:color="000000" w:sz="4" w:space="0"/>
            </w:tcBorders>
            <w:shd w:val="clear" w:color="auto" w:fill="auto"/>
            <w:vAlign w:val="center"/>
          </w:tcPr>
          <w:p w14:paraId="54633A4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722" w:type="dxa"/>
            <w:gridSpan w:val="3"/>
            <w:tcBorders>
              <w:top w:val="single" w:color="000000" w:sz="4" w:space="0"/>
              <w:left w:val="single" w:color="000000" w:sz="4" w:space="0"/>
              <w:bottom w:val="nil"/>
              <w:right w:val="single" w:color="000000" w:sz="4" w:space="0"/>
            </w:tcBorders>
            <w:shd w:val="clear" w:color="auto" w:fill="auto"/>
            <w:vAlign w:val="center"/>
          </w:tcPr>
          <w:p w14:paraId="5914637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2840" w:type="dxa"/>
            <w:gridSpan w:val="3"/>
            <w:tcBorders>
              <w:top w:val="single" w:color="000000" w:sz="4" w:space="0"/>
              <w:left w:val="single" w:color="000000" w:sz="4" w:space="0"/>
              <w:bottom w:val="nil"/>
              <w:right w:val="single" w:color="000000" w:sz="4" w:space="0"/>
            </w:tcBorders>
            <w:shd w:val="clear" w:color="auto" w:fill="auto"/>
            <w:vAlign w:val="center"/>
          </w:tcPr>
          <w:p w14:paraId="5858EA06">
            <w:pPr>
              <w:jc w:val="center"/>
              <w:rPr>
                <w:rFonts w:hint="eastAsia" w:ascii="宋体" w:hAnsi="宋体" w:eastAsia="宋体" w:cs="宋体"/>
                <w:i w:val="0"/>
                <w:iCs w:val="0"/>
                <w:color w:val="000000"/>
                <w:sz w:val="18"/>
                <w:szCs w:val="18"/>
                <w:u w:val="none" w:color="auto"/>
              </w:rPr>
            </w:pPr>
          </w:p>
        </w:tc>
      </w:tr>
      <w:tr w14:paraId="14D80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543"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64748100">
            <w:pPr>
              <w:jc w:val="center"/>
              <w:rPr>
                <w:rFonts w:hint="eastAsia" w:ascii="宋体" w:hAnsi="宋体" w:eastAsia="宋体" w:cs="宋体"/>
                <w:i w:val="0"/>
                <w:iCs w:val="0"/>
                <w:color w:val="000000"/>
                <w:sz w:val="18"/>
                <w:szCs w:val="18"/>
                <w:u w:val="none" w:color="auto"/>
              </w:rPr>
            </w:pPr>
          </w:p>
        </w:tc>
        <w:tc>
          <w:tcPr>
            <w:tcW w:w="592" w:type="dxa"/>
            <w:vMerge w:val="continue"/>
            <w:tcBorders>
              <w:top w:val="single" w:color="000000" w:sz="4" w:space="0"/>
              <w:left w:val="single" w:color="000000" w:sz="4" w:space="0"/>
              <w:bottom w:val="nil"/>
              <w:right w:val="single" w:color="000000" w:sz="4" w:space="0"/>
            </w:tcBorders>
            <w:shd w:val="clear" w:color="auto" w:fill="auto"/>
            <w:vAlign w:val="center"/>
          </w:tcPr>
          <w:p w14:paraId="6B3CCB62">
            <w:pPr>
              <w:jc w:val="center"/>
              <w:rPr>
                <w:rFonts w:hint="eastAsia" w:ascii="宋体" w:hAnsi="宋体" w:eastAsia="宋体" w:cs="宋体"/>
                <w:i w:val="0"/>
                <w:iCs w:val="0"/>
                <w:color w:val="000000"/>
                <w:sz w:val="18"/>
                <w:szCs w:val="18"/>
                <w:u w:val="none" w:color="auto"/>
              </w:rPr>
            </w:pPr>
          </w:p>
        </w:tc>
        <w:tc>
          <w:tcPr>
            <w:tcW w:w="821" w:type="dxa"/>
            <w:vMerge w:val="restart"/>
            <w:tcBorders>
              <w:top w:val="single" w:color="000000" w:sz="4" w:space="0"/>
              <w:left w:val="single" w:color="000000" w:sz="4" w:space="0"/>
              <w:bottom w:val="nil"/>
              <w:right w:val="single" w:color="000000" w:sz="4" w:space="0"/>
            </w:tcBorders>
            <w:shd w:val="clear" w:color="auto" w:fill="auto"/>
            <w:vAlign w:val="center"/>
          </w:tcPr>
          <w:p w14:paraId="0CBF065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成本指标</w:t>
            </w:r>
          </w:p>
        </w:tc>
        <w:tc>
          <w:tcPr>
            <w:tcW w:w="1475" w:type="dxa"/>
            <w:gridSpan w:val="3"/>
            <w:tcBorders>
              <w:top w:val="single" w:color="000000" w:sz="4" w:space="0"/>
              <w:left w:val="single" w:color="000000" w:sz="4" w:space="0"/>
              <w:bottom w:val="nil"/>
              <w:right w:val="single" w:color="000000" w:sz="4" w:space="0"/>
            </w:tcBorders>
            <w:shd w:val="clear" w:color="auto" w:fill="auto"/>
            <w:vAlign w:val="center"/>
          </w:tcPr>
          <w:p w14:paraId="6378EE1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项目总成本</w:t>
            </w:r>
          </w:p>
        </w:tc>
        <w:tc>
          <w:tcPr>
            <w:tcW w:w="543" w:type="dxa"/>
            <w:gridSpan w:val="2"/>
            <w:tcBorders>
              <w:top w:val="single" w:color="000000" w:sz="4" w:space="0"/>
              <w:left w:val="single" w:color="000000" w:sz="4" w:space="0"/>
              <w:bottom w:val="nil"/>
              <w:right w:val="single" w:color="000000" w:sz="4" w:space="0"/>
            </w:tcBorders>
            <w:shd w:val="clear" w:color="auto" w:fill="auto"/>
            <w:vAlign w:val="center"/>
          </w:tcPr>
          <w:p w14:paraId="38D6D63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反向</w:t>
            </w:r>
          </w:p>
        </w:tc>
        <w:tc>
          <w:tcPr>
            <w:tcW w:w="543" w:type="dxa"/>
            <w:tcBorders>
              <w:top w:val="single" w:color="000000" w:sz="4" w:space="0"/>
              <w:left w:val="single" w:color="000000" w:sz="4" w:space="0"/>
              <w:bottom w:val="nil"/>
              <w:right w:val="single" w:color="000000" w:sz="4" w:space="0"/>
            </w:tcBorders>
            <w:shd w:val="clear" w:color="auto" w:fill="auto"/>
            <w:vAlign w:val="center"/>
          </w:tcPr>
          <w:p w14:paraId="7ABCF68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小于等于</w:t>
            </w:r>
          </w:p>
        </w:tc>
        <w:tc>
          <w:tcPr>
            <w:tcW w:w="809" w:type="dxa"/>
            <w:gridSpan w:val="3"/>
            <w:tcBorders>
              <w:top w:val="single" w:color="000000" w:sz="4" w:space="0"/>
              <w:left w:val="single" w:color="000000" w:sz="4" w:space="0"/>
              <w:bottom w:val="nil"/>
              <w:right w:val="single" w:color="000000" w:sz="4" w:space="0"/>
            </w:tcBorders>
            <w:shd w:val="clear" w:color="auto" w:fill="auto"/>
            <w:vAlign w:val="center"/>
          </w:tcPr>
          <w:p w14:paraId="1223810A">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120</w:t>
            </w:r>
          </w:p>
        </w:tc>
        <w:tc>
          <w:tcPr>
            <w:tcW w:w="809" w:type="dxa"/>
            <w:gridSpan w:val="2"/>
            <w:tcBorders>
              <w:top w:val="single" w:color="000000" w:sz="4" w:space="0"/>
              <w:left w:val="single" w:color="000000" w:sz="4" w:space="0"/>
              <w:bottom w:val="nil"/>
              <w:right w:val="single" w:color="000000" w:sz="4" w:space="0"/>
            </w:tcBorders>
            <w:shd w:val="clear" w:color="auto" w:fill="auto"/>
            <w:vAlign w:val="center"/>
          </w:tcPr>
          <w:p w14:paraId="0CF363CA">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120</w:t>
            </w:r>
          </w:p>
        </w:tc>
        <w:tc>
          <w:tcPr>
            <w:tcW w:w="703" w:type="dxa"/>
            <w:gridSpan w:val="2"/>
            <w:tcBorders>
              <w:top w:val="single" w:color="000000" w:sz="4" w:space="0"/>
              <w:left w:val="single" w:color="000000" w:sz="4" w:space="0"/>
              <w:bottom w:val="nil"/>
              <w:right w:val="single" w:color="000000" w:sz="4" w:space="0"/>
            </w:tcBorders>
            <w:shd w:val="clear" w:color="auto" w:fill="auto"/>
            <w:vAlign w:val="center"/>
          </w:tcPr>
          <w:p w14:paraId="769F2DC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万元</w:t>
            </w:r>
          </w:p>
        </w:tc>
        <w:tc>
          <w:tcPr>
            <w:tcW w:w="520" w:type="dxa"/>
            <w:gridSpan w:val="2"/>
            <w:tcBorders>
              <w:top w:val="single" w:color="000000" w:sz="4" w:space="0"/>
              <w:left w:val="single" w:color="000000" w:sz="4" w:space="0"/>
              <w:bottom w:val="nil"/>
              <w:right w:val="single" w:color="000000" w:sz="4" w:space="0"/>
            </w:tcBorders>
            <w:shd w:val="clear" w:color="auto" w:fill="auto"/>
            <w:vAlign w:val="center"/>
          </w:tcPr>
          <w:p w14:paraId="1CE6CFD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722" w:type="dxa"/>
            <w:gridSpan w:val="3"/>
            <w:tcBorders>
              <w:top w:val="single" w:color="000000" w:sz="4" w:space="0"/>
              <w:left w:val="single" w:color="000000" w:sz="4" w:space="0"/>
              <w:bottom w:val="nil"/>
              <w:right w:val="single" w:color="000000" w:sz="4" w:space="0"/>
            </w:tcBorders>
            <w:shd w:val="clear" w:color="auto" w:fill="auto"/>
            <w:vAlign w:val="center"/>
          </w:tcPr>
          <w:p w14:paraId="41C2C1B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2840" w:type="dxa"/>
            <w:gridSpan w:val="3"/>
            <w:tcBorders>
              <w:top w:val="single" w:color="000000" w:sz="4" w:space="0"/>
              <w:left w:val="single" w:color="000000" w:sz="4" w:space="0"/>
              <w:bottom w:val="nil"/>
              <w:right w:val="single" w:color="000000" w:sz="4" w:space="0"/>
            </w:tcBorders>
            <w:shd w:val="clear" w:color="auto" w:fill="auto"/>
            <w:vAlign w:val="center"/>
          </w:tcPr>
          <w:p w14:paraId="4326B604">
            <w:pPr>
              <w:jc w:val="center"/>
              <w:rPr>
                <w:rFonts w:hint="eastAsia" w:ascii="宋体" w:hAnsi="宋体" w:eastAsia="宋体" w:cs="宋体"/>
                <w:i w:val="0"/>
                <w:iCs w:val="0"/>
                <w:color w:val="000000"/>
                <w:sz w:val="18"/>
                <w:szCs w:val="18"/>
                <w:u w:val="none" w:color="auto"/>
              </w:rPr>
            </w:pPr>
          </w:p>
        </w:tc>
      </w:tr>
      <w:tr w14:paraId="20D15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543"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4DD86960">
            <w:pPr>
              <w:jc w:val="center"/>
              <w:rPr>
                <w:rFonts w:hint="eastAsia" w:ascii="宋体" w:hAnsi="宋体" w:eastAsia="宋体" w:cs="宋体"/>
                <w:i w:val="0"/>
                <w:iCs w:val="0"/>
                <w:color w:val="000000"/>
                <w:sz w:val="18"/>
                <w:szCs w:val="18"/>
                <w:u w:val="none" w:color="auto"/>
              </w:rPr>
            </w:pPr>
          </w:p>
        </w:tc>
        <w:tc>
          <w:tcPr>
            <w:tcW w:w="592" w:type="dxa"/>
            <w:vMerge w:val="continue"/>
            <w:tcBorders>
              <w:top w:val="single" w:color="000000" w:sz="4" w:space="0"/>
              <w:left w:val="single" w:color="000000" w:sz="4" w:space="0"/>
              <w:bottom w:val="nil"/>
              <w:right w:val="single" w:color="000000" w:sz="4" w:space="0"/>
            </w:tcBorders>
            <w:shd w:val="clear" w:color="auto" w:fill="auto"/>
            <w:vAlign w:val="center"/>
          </w:tcPr>
          <w:p w14:paraId="146BFF62">
            <w:pPr>
              <w:jc w:val="center"/>
              <w:rPr>
                <w:rFonts w:hint="eastAsia" w:ascii="宋体" w:hAnsi="宋体" w:eastAsia="宋体" w:cs="宋体"/>
                <w:i w:val="0"/>
                <w:iCs w:val="0"/>
                <w:color w:val="000000"/>
                <w:sz w:val="18"/>
                <w:szCs w:val="18"/>
                <w:u w:val="none" w:color="auto"/>
              </w:rPr>
            </w:pPr>
          </w:p>
        </w:tc>
        <w:tc>
          <w:tcPr>
            <w:tcW w:w="821" w:type="dxa"/>
            <w:vMerge w:val="continue"/>
            <w:tcBorders>
              <w:top w:val="single" w:color="000000" w:sz="4" w:space="0"/>
              <w:left w:val="single" w:color="000000" w:sz="4" w:space="0"/>
              <w:bottom w:val="nil"/>
              <w:right w:val="single" w:color="000000" w:sz="4" w:space="0"/>
            </w:tcBorders>
            <w:shd w:val="clear" w:color="auto" w:fill="auto"/>
            <w:vAlign w:val="center"/>
          </w:tcPr>
          <w:p w14:paraId="46FF0C4D">
            <w:pPr>
              <w:jc w:val="center"/>
              <w:rPr>
                <w:rFonts w:hint="eastAsia" w:ascii="宋体" w:hAnsi="宋体" w:eastAsia="宋体" w:cs="宋体"/>
                <w:i w:val="0"/>
                <w:iCs w:val="0"/>
                <w:color w:val="000000"/>
                <w:sz w:val="18"/>
                <w:szCs w:val="18"/>
                <w:u w:val="none" w:color="auto"/>
              </w:rPr>
            </w:pPr>
          </w:p>
        </w:tc>
        <w:tc>
          <w:tcPr>
            <w:tcW w:w="1475" w:type="dxa"/>
            <w:gridSpan w:val="3"/>
            <w:tcBorders>
              <w:top w:val="single" w:color="000000" w:sz="4" w:space="0"/>
              <w:left w:val="single" w:color="000000" w:sz="4" w:space="0"/>
              <w:bottom w:val="nil"/>
              <w:right w:val="single" w:color="000000" w:sz="4" w:space="0"/>
            </w:tcBorders>
            <w:shd w:val="clear" w:color="auto" w:fill="auto"/>
            <w:vAlign w:val="center"/>
          </w:tcPr>
          <w:p w14:paraId="04F2491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人均培训成本</w:t>
            </w:r>
          </w:p>
        </w:tc>
        <w:tc>
          <w:tcPr>
            <w:tcW w:w="543" w:type="dxa"/>
            <w:gridSpan w:val="2"/>
            <w:tcBorders>
              <w:top w:val="single" w:color="000000" w:sz="4" w:space="0"/>
              <w:left w:val="single" w:color="000000" w:sz="4" w:space="0"/>
              <w:bottom w:val="nil"/>
              <w:right w:val="single" w:color="000000" w:sz="4" w:space="0"/>
            </w:tcBorders>
            <w:shd w:val="clear" w:color="auto" w:fill="auto"/>
            <w:vAlign w:val="center"/>
          </w:tcPr>
          <w:p w14:paraId="5E51E75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反向</w:t>
            </w:r>
          </w:p>
        </w:tc>
        <w:tc>
          <w:tcPr>
            <w:tcW w:w="543" w:type="dxa"/>
            <w:tcBorders>
              <w:top w:val="single" w:color="000000" w:sz="4" w:space="0"/>
              <w:left w:val="single" w:color="000000" w:sz="4" w:space="0"/>
              <w:bottom w:val="nil"/>
              <w:right w:val="single" w:color="000000" w:sz="4" w:space="0"/>
            </w:tcBorders>
            <w:shd w:val="clear" w:color="auto" w:fill="auto"/>
            <w:vAlign w:val="center"/>
          </w:tcPr>
          <w:p w14:paraId="7B02A65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小于等于</w:t>
            </w:r>
          </w:p>
        </w:tc>
        <w:tc>
          <w:tcPr>
            <w:tcW w:w="809" w:type="dxa"/>
            <w:gridSpan w:val="3"/>
            <w:tcBorders>
              <w:top w:val="single" w:color="000000" w:sz="4" w:space="0"/>
              <w:left w:val="single" w:color="000000" w:sz="4" w:space="0"/>
              <w:bottom w:val="nil"/>
              <w:right w:val="single" w:color="000000" w:sz="4" w:space="0"/>
            </w:tcBorders>
            <w:shd w:val="clear" w:color="auto" w:fill="auto"/>
            <w:vAlign w:val="center"/>
          </w:tcPr>
          <w:p w14:paraId="06B9EF31">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300</w:t>
            </w:r>
          </w:p>
        </w:tc>
        <w:tc>
          <w:tcPr>
            <w:tcW w:w="809" w:type="dxa"/>
            <w:gridSpan w:val="2"/>
            <w:tcBorders>
              <w:top w:val="single" w:color="000000" w:sz="4" w:space="0"/>
              <w:left w:val="single" w:color="000000" w:sz="4" w:space="0"/>
              <w:bottom w:val="nil"/>
              <w:right w:val="single" w:color="000000" w:sz="4" w:space="0"/>
            </w:tcBorders>
            <w:shd w:val="clear" w:color="auto" w:fill="auto"/>
            <w:vAlign w:val="center"/>
          </w:tcPr>
          <w:p w14:paraId="34833AE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300</w:t>
            </w:r>
          </w:p>
        </w:tc>
        <w:tc>
          <w:tcPr>
            <w:tcW w:w="703" w:type="dxa"/>
            <w:gridSpan w:val="2"/>
            <w:tcBorders>
              <w:top w:val="single" w:color="000000" w:sz="4" w:space="0"/>
              <w:left w:val="single" w:color="000000" w:sz="4" w:space="0"/>
              <w:bottom w:val="nil"/>
              <w:right w:val="single" w:color="000000" w:sz="4" w:space="0"/>
            </w:tcBorders>
            <w:shd w:val="clear" w:color="auto" w:fill="auto"/>
            <w:vAlign w:val="center"/>
          </w:tcPr>
          <w:p w14:paraId="0AD3D49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元/天</w:t>
            </w:r>
          </w:p>
        </w:tc>
        <w:tc>
          <w:tcPr>
            <w:tcW w:w="520" w:type="dxa"/>
            <w:gridSpan w:val="2"/>
            <w:tcBorders>
              <w:top w:val="single" w:color="000000" w:sz="4" w:space="0"/>
              <w:left w:val="single" w:color="000000" w:sz="4" w:space="0"/>
              <w:bottom w:val="nil"/>
              <w:right w:val="single" w:color="000000" w:sz="4" w:space="0"/>
            </w:tcBorders>
            <w:shd w:val="clear" w:color="auto" w:fill="auto"/>
            <w:vAlign w:val="center"/>
          </w:tcPr>
          <w:p w14:paraId="1C5A4B6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722" w:type="dxa"/>
            <w:gridSpan w:val="3"/>
            <w:tcBorders>
              <w:top w:val="single" w:color="000000" w:sz="4" w:space="0"/>
              <w:left w:val="single" w:color="000000" w:sz="4" w:space="0"/>
              <w:bottom w:val="nil"/>
              <w:right w:val="single" w:color="000000" w:sz="4" w:space="0"/>
            </w:tcBorders>
            <w:shd w:val="clear" w:color="auto" w:fill="auto"/>
            <w:vAlign w:val="center"/>
          </w:tcPr>
          <w:p w14:paraId="3AB24B5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2840" w:type="dxa"/>
            <w:gridSpan w:val="3"/>
            <w:tcBorders>
              <w:top w:val="single" w:color="000000" w:sz="4" w:space="0"/>
              <w:left w:val="single" w:color="000000" w:sz="4" w:space="0"/>
              <w:bottom w:val="nil"/>
              <w:right w:val="single" w:color="000000" w:sz="4" w:space="0"/>
            </w:tcBorders>
            <w:shd w:val="clear" w:color="auto" w:fill="auto"/>
            <w:vAlign w:val="center"/>
          </w:tcPr>
          <w:p w14:paraId="69BFB74D">
            <w:pPr>
              <w:jc w:val="center"/>
              <w:rPr>
                <w:rFonts w:hint="eastAsia" w:ascii="宋体" w:hAnsi="宋体" w:eastAsia="宋体" w:cs="宋体"/>
                <w:i w:val="0"/>
                <w:iCs w:val="0"/>
                <w:color w:val="000000"/>
                <w:sz w:val="18"/>
                <w:szCs w:val="18"/>
                <w:u w:val="none" w:color="auto"/>
              </w:rPr>
            </w:pPr>
          </w:p>
        </w:tc>
      </w:tr>
      <w:tr w14:paraId="197A2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543"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0390F9A2">
            <w:pPr>
              <w:jc w:val="center"/>
              <w:rPr>
                <w:rFonts w:hint="eastAsia" w:ascii="宋体" w:hAnsi="宋体" w:eastAsia="宋体" w:cs="宋体"/>
                <w:i w:val="0"/>
                <w:iCs w:val="0"/>
                <w:color w:val="000000"/>
                <w:sz w:val="18"/>
                <w:szCs w:val="18"/>
                <w:u w:val="none" w:color="auto"/>
              </w:rPr>
            </w:pPr>
          </w:p>
        </w:tc>
        <w:tc>
          <w:tcPr>
            <w:tcW w:w="592" w:type="dxa"/>
            <w:vMerge w:val="restart"/>
            <w:tcBorders>
              <w:top w:val="single" w:color="000000" w:sz="4" w:space="0"/>
              <w:left w:val="single" w:color="000000" w:sz="4" w:space="0"/>
              <w:bottom w:val="nil"/>
              <w:right w:val="single" w:color="000000" w:sz="4" w:space="0"/>
            </w:tcBorders>
            <w:shd w:val="clear" w:color="auto" w:fill="auto"/>
            <w:vAlign w:val="center"/>
          </w:tcPr>
          <w:p w14:paraId="36E60DFA">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效益指标</w:t>
            </w:r>
          </w:p>
        </w:tc>
        <w:tc>
          <w:tcPr>
            <w:tcW w:w="821" w:type="dxa"/>
            <w:vMerge w:val="restart"/>
            <w:tcBorders>
              <w:top w:val="single" w:color="000000" w:sz="4" w:space="0"/>
              <w:left w:val="single" w:color="000000" w:sz="4" w:space="0"/>
              <w:bottom w:val="nil"/>
              <w:right w:val="single" w:color="000000" w:sz="4" w:space="0"/>
            </w:tcBorders>
            <w:shd w:val="clear" w:color="auto" w:fill="auto"/>
            <w:vAlign w:val="center"/>
          </w:tcPr>
          <w:p w14:paraId="45B9D05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社会效益</w:t>
            </w:r>
          </w:p>
        </w:tc>
        <w:tc>
          <w:tcPr>
            <w:tcW w:w="1475" w:type="dxa"/>
            <w:gridSpan w:val="3"/>
            <w:tcBorders>
              <w:top w:val="single" w:color="000000" w:sz="4" w:space="0"/>
              <w:left w:val="single" w:color="000000" w:sz="4" w:space="0"/>
              <w:bottom w:val="nil"/>
              <w:right w:val="single" w:color="000000" w:sz="4" w:space="0"/>
            </w:tcBorders>
            <w:shd w:val="clear" w:color="auto" w:fill="auto"/>
            <w:vAlign w:val="center"/>
          </w:tcPr>
          <w:p w14:paraId="06FB439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育龄群众计划生育权利和健康知识知晓程度</w:t>
            </w:r>
          </w:p>
        </w:tc>
        <w:tc>
          <w:tcPr>
            <w:tcW w:w="543" w:type="dxa"/>
            <w:gridSpan w:val="2"/>
            <w:tcBorders>
              <w:top w:val="single" w:color="000000" w:sz="4" w:space="0"/>
              <w:left w:val="single" w:color="000000" w:sz="4" w:space="0"/>
              <w:bottom w:val="nil"/>
              <w:right w:val="single" w:color="000000" w:sz="4" w:space="0"/>
            </w:tcBorders>
            <w:shd w:val="clear" w:color="auto" w:fill="auto"/>
            <w:vAlign w:val="center"/>
          </w:tcPr>
          <w:p w14:paraId="01ABD7D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定性</w:t>
            </w:r>
          </w:p>
        </w:tc>
        <w:tc>
          <w:tcPr>
            <w:tcW w:w="543" w:type="dxa"/>
            <w:tcBorders>
              <w:top w:val="single" w:color="000000" w:sz="4" w:space="0"/>
              <w:left w:val="single" w:color="000000" w:sz="4" w:space="0"/>
              <w:bottom w:val="nil"/>
              <w:right w:val="single" w:color="000000" w:sz="4" w:space="0"/>
            </w:tcBorders>
            <w:shd w:val="clear" w:color="auto" w:fill="auto"/>
            <w:vAlign w:val="center"/>
          </w:tcPr>
          <w:p w14:paraId="233379BE">
            <w:pPr>
              <w:jc w:val="center"/>
              <w:rPr>
                <w:rFonts w:hint="eastAsia" w:ascii="宋体" w:hAnsi="宋体" w:eastAsia="宋体" w:cs="宋体"/>
                <w:i w:val="0"/>
                <w:iCs w:val="0"/>
                <w:color w:val="000000"/>
                <w:sz w:val="18"/>
                <w:szCs w:val="18"/>
                <w:u w:val="none" w:color="auto"/>
              </w:rPr>
            </w:pPr>
          </w:p>
        </w:tc>
        <w:tc>
          <w:tcPr>
            <w:tcW w:w="809" w:type="dxa"/>
            <w:gridSpan w:val="3"/>
            <w:tcBorders>
              <w:top w:val="single" w:color="000000" w:sz="4" w:space="0"/>
              <w:left w:val="single" w:color="000000" w:sz="4" w:space="0"/>
              <w:bottom w:val="nil"/>
              <w:right w:val="single" w:color="000000" w:sz="4" w:space="0"/>
            </w:tcBorders>
            <w:shd w:val="clear" w:color="auto" w:fill="auto"/>
            <w:vAlign w:val="center"/>
          </w:tcPr>
          <w:p w14:paraId="063D440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有所提高</w:t>
            </w:r>
          </w:p>
        </w:tc>
        <w:tc>
          <w:tcPr>
            <w:tcW w:w="809" w:type="dxa"/>
            <w:gridSpan w:val="2"/>
            <w:tcBorders>
              <w:top w:val="single" w:color="000000" w:sz="4" w:space="0"/>
              <w:left w:val="single" w:color="000000" w:sz="4" w:space="0"/>
              <w:bottom w:val="nil"/>
              <w:right w:val="single" w:color="000000" w:sz="4" w:space="0"/>
            </w:tcBorders>
            <w:shd w:val="clear" w:color="auto" w:fill="auto"/>
            <w:vAlign w:val="center"/>
          </w:tcPr>
          <w:p w14:paraId="7A96177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有所提高</w:t>
            </w:r>
          </w:p>
        </w:tc>
        <w:tc>
          <w:tcPr>
            <w:tcW w:w="703" w:type="dxa"/>
            <w:gridSpan w:val="2"/>
            <w:tcBorders>
              <w:top w:val="single" w:color="000000" w:sz="4" w:space="0"/>
              <w:left w:val="single" w:color="000000" w:sz="4" w:space="0"/>
              <w:bottom w:val="nil"/>
              <w:right w:val="single" w:color="000000" w:sz="4" w:space="0"/>
            </w:tcBorders>
            <w:shd w:val="clear" w:color="auto" w:fill="auto"/>
            <w:vAlign w:val="center"/>
          </w:tcPr>
          <w:p w14:paraId="32E2BC92">
            <w:pPr>
              <w:jc w:val="center"/>
              <w:rPr>
                <w:rFonts w:hint="eastAsia" w:ascii="宋体" w:hAnsi="宋体" w:eastAsia="宋体" w:cs="宋体"/>
                <w:i w:val="0"/>
                <w:iCs w:val="0"/>
                <w:color w:val="000000"/>
                <w:sz w:val="18"/>
                <w:szCs w:val="18"/>
                <w:u w:val="none" w:color="auto"/>
              </w:rPr>
            </w:pPr>
          </w:p>
        </w:tc>
        <w:tc>
          <w:tcPr>
            <w:tcW w:w="520" w:type="dxa"/>
            <w:gridSpan w:val="2"/>
            <w:tcBorders>
              <w:top w:val="single" w:color="000000" w:sz="4" w:space="0"/>
              <w:left w:val="single" w:color="000000" w:sz="4" w:space="0"/>
              <w:bottom w:val="nil"/>
              <w:right w:val="single" w:color="000000" w:sz="4" w:space="0"/>
            </w:tcBorders>
            <w:shd w:val="clear" w:color="auto" w:fill="auto"/>
            <w:vAlign w:val="center"/>
          </w:tcPr>
          <w:p w14:paraId="6B4EE3D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4</w:t>
            </w:r>
          </w:p>
        </w:tc>
        <w:tc>
          <w:tcPr>
            <w:tcW w:w="722" w:type="dxa"/>
            <w:gridSpan w:val="3"/>
            <w:tcBorders>
              <w:top w:val="single" w:color="000000" w:sz="4" w:space="0"/>
              <w:left w:val="single" w:color="000000" w:sz="4" w:space="0"/>
              <w:bottom w:val="nil"/>
              <w:right w:val="single" w:color="000000" w:sz="4" w:space="0"/>
            </w:tcBorders>
            <w:shd w:val="clear" w:color="auto" w:fill="auto"/>
            <w:vAlign w:val="center"/>
          </w:tcPr>
          <w:p w14:paraId="65224AB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4</w:t>
            </w:r>
          </w:p>
        </w:tc>
        <w:tc>
          <w:tcPr>
            <w:tcW w:w="2840" w:type="dxa"/>
            <w:gridSpan w:val="3"/>
            <w:tcBorders>
              <w:top w:val="single" w:color="000000" w:sz="4" w:space="0"/>
              <w:left w:val="single" w:color="000000" w:sz="4" w:space="0"/>
              <w:bottom w:val="nil"/>
              <w:right w:val="single" w:color="000000" w:sz="4" w:space="0"/>
            </w:tcBorders>
            <w:shd w:val="clear" w:color="auto" w:fill="auto"/>
            <w:vAlign w:val="center"/>
          </w:tcPr>
          <w:p w14:paraId="7164CB5F">
            <w:pPr>
              <w:jc w:val="center"/>
              <w:rPr>
                <w:rFonts w:hint="eastAsia" w:ascii="宋体" w:hAnsi="宋体" w:eastAsia="宋体" w:cs="宋体"/>
                <w:i w:val="0"/>
                <w:iCs w:val="0"/>
                <w:color w:val="000000"/>
                <w:sz w:val="18"/>
                <w:szCs w:val="18"/>
                <w:u w:val="none" w:color="auto"/>
              </w:rPr>
            </w:pPr>
          </w:p>
        </w:tc>
      </w:tr>
      <w:tr w14:paraId="1D3E3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543"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31239698">
            <w:pPr>
              <w:jc w:val="center"/>
              <w:rPr>
                <w:rFonts w:hint="eastAsia" w:ascii="宋体" w:hAnsi="宋体" w:eastAsia="宋体" w:cs="宋体"/>
                <w:i w:val="0"/>
                <w:iCs w:val="0"/>
                <w:color w:val="000000"/>
                <w:sz w:val="18"/>
                <w:szCs w:val="18"/>
                <w:u w:val="none" w:color="auto"/>
              </w:rPr>
            </w:pPr>
          </w:p>
        </w:tc>
        <w:tc>
          <w:tcPr>
            <w:tcW w:w="592" w:type="dxa"/>
            <w:vMerge w:val="continue"/>
            <w:tcBorders>
              <w:top w:val="single" w:color="000000" w:sz="4" w:space="0"/>
              <w:left w:val="single" w:color="000000" w:sz="4" w:space="0"/>
              <w:bottom w:val="nil"/>
              <w:right w:val="single" w:color="000000" w:sz="4" w:space="0"/>
            </w:tcBorders>
            <w:shd w:val="clear" w:color="auto" w:fill="auto"/>
            <w:vAlign w:val="center"/>
          </w:tcPr>
          <w:p w14:paraId="19E066E7">
            <w:pPr>
              <w:jc w:val="center"/>
              <w:rPr>
                <w:rFonts w:hint="eastAsia" w:ascii="宋体" w:hAnsi="宋体" w:eastAsia="宋体" w:cs="宋体"/>
                <w:i w:val="0"/>
                <w:iCs w:val="0"/>
                <w:color w:val="000000"/>
                <w:sz w:val="18"/>
                <w:szCs w:val="18"/>
                <w:u w:val="none" w:color="auto"/>
              </w:rPr>
            </w:pPr>
          </w:p>
        </w:tc>
        <w:tc>
          <w:tcPr>
            <w:tcW w:w="821" w:type="dxa"/>
            <w:vMerge w:val="continue"/>
            <w:tcBorders>
              <w:top w:val="single" w:color="000000" w:sz="4" w:space="0"/>
              <w:left w:val="single" w:color="000000" w:sz="4" w:space="0"/>
              <w:bottom w:val="nil"/>
              <w:right w:val="single" w:color="000000" w:sz="4" w:space="0"/>
            </w:tcBorders>
            <w:shd w:val="clear" w:color="auto" w:fill="auto"/>
            <w:vAlign w:val="center"/>
          </w:tcPr>
          <w:p w14:paraId="55F905E2">
            <w:pPr>
              <w:jc w:val="center"/>
              <w:rPr>
                <w:rFonts w:hint="eastAsia" w:ascii="宋体" w:hAnsi="宋体" w:eastAsia="宋体" w:cs="宋体"/>
                <w:i w:val="0"/>
                <w:iCs w:val="0"/>
                <w:color w:val="000000"/>
                <w:sz w:val="18"/>
                <w:szCs w:val="18"/>
                <w:u w:val="none" w:color="auto"/>
              </w:rPr>
            </w:pPr>
          </w:p>
        </w:tc>
        <w:tc>
          <w:tcPr>
            <w:tcW w:w="1475" w:type="dxa"/>
            <w:gridSpan w:val="3"/>
            <w:tcBorders>
              <w:top w:val="single" w:color="000000" w:sz="4" w:space="0"/>
              <w:left w:val="single" w:color="000000" w:sz="4" w:space="0"/>
              <w:bottom w:val="nil"/>
              <w:right w:val="single" w:color="000000" w:sz="4" w:space="0"/>
            </w:tcBorders>
            <w:shd w:val="clear" w:color="auto" w:fill="auto"/>
            <w:vAlign w:val="center"/>
          </w:tcPr>
          <w:p w14:paraId="2910B22A">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应享有计划生育政策补助家庭生活水平</w:t>
            </w:r>
          </w:p>
        </w:tc>
        <w:tc>
          <w:tcPr>
            <w:tcW w:w="543" w:type="dxa"/>
            <w:gridSpan w:val="2"/>
            <w:tcBorders>
              <w:top w:val="single" w:color="000000" w:sz="4" w:space="0"/>
              <w:left w:val="single" w:color="000000" w:sz="4" w:space="0"/>
              <w:bottom w:val="nil"/>
              <w:right w:val="single" w:color="000000" w:sz="4" w:space="0"/>
            </w:tcBorders>
            <w:shd w:val="clear" w:color="auto" w:fill="auto"/>
            <w:vAlign w:val="center"/>
          </w:tcPr>
          <w:p w14:paraId="7363858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定性</w:t>
            </w:r>
          </w:p>
        </w:tc>
        <w:tc>
          <w:tcPr>
            <w:tcW w:w="543" w:type="dxa"/>
            <w:tcBorders>
              <w:top w:val="single" w:color="000000" w:sz="4" w:space="0"/>
              <w:left w:val="single" w:color="000000" w:sz="4" w:space="0"/>
              <w:bottom w:val="nil"/>
              <w:right w:val="single" w:color="000000" w:sz="4" w:space="0"/>
            </w:tcBorders>
            <w:shd w:val="clear" w:color="auto" w:fill="auto"/>
            <w:vAlign w:val="center"/>
          </w:tcPr>
          <w:p w14:paraId="6BB774BD">
            <w:pPr>
              <w:jc w:val="center"/>
              <w:rPr>
                <w:rFonts w:hint="eastAsia" w:ascii="宋体" w:hAnsi="宋体" w:eastAsia="宋体" w:cs="宋体"/>
                <w:i w:val="0"/>
                <w:iCs w:val="0"/>
                <w:color w:val="000000"/>
                <w:sz w:val="18"/>
                <w:szCs w:val="18"/>
                <w:u w:val="none" w:color="auto"/>
              </w:rPr>
            </w:pPr>
          </w:p>
        </w:tc>
        <w:tc>
          <w:tcPr>
            <w:tcW w:w="809" w:type="dxa"/>
            <w:gridSpan w:val="3"/>
            <w:tcBorders>
              <w:top w:val="single" w:color="000000" w:sz="4" w:space="0"/>
              <w:left w:val="single" w:color="000000" w:sz="4" w:space="0"/>
              <w:bottom w:val="nil"/>
              <w:right w:val="single" w:color="000000" w:sz="4" w:space="0"/>
            </w:tcBorders>
            <w:shd w:val="clear" w:color="auto" w:fill="auto"/>
            <w:vAlign w:val="center"/>
          </w:tcPr>
          <w:p w14:paraId="075F6546">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有所提高</w:t>
            </w:r>
          </w:p>
        </w:tc>
        <w:tc>
          <w:tcPr>
            <w:tcW w:w="809" w:type="dxa"/>
            <w:gridSpan w:val="2"/>
            <w:tcBorders>
              <w:top w:val="single" w:color="000000" w:sz="4" w:space="0"/>
              <w:left w:val="single" w:color="000000" w:sz="4" w:space="0"/>
              <w:bottom w:val="nil"/>
              <w:right w:val="single" w:color="000000" w:sz="4" w:space="0"/>
            </w:tcBorders>
            <w:shd w:val="clear" w:color="auto" w:fill="auto"/>
            <w:vAlign w:val="center"/>
          </w:tcPr>
          <w:p w14:paraId="1534A39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有所提高</w:t>
            </w:r>
          </w:p>
        </w:tc>
        <w:tc>
          <w:tcPr>
            <w:tcW w:w="703" w:type="dxa"/>
            <w:gridSpan w:val="2"/>
            <w:tcBorders>
              <w:top w:val="single" w:color="000000" w:sz="4" w:space="0"/>
              <w:left w:val="single" w:color="000000" w:sz="4" w:space="0"/>
              <w:bottom w:val="nil"/>
              <w:right w:val="single" w:color="000000" w:sz="4" w:space="0"/>
            </w:tcBorders>
            <w:shd w:val="clear" w:color="auto" w:fill="auto"/>
            <w:vAlign w:val="center"/>
          </w:tcPr>
          <w:p w14:paraId="2251C5A6">
            <w:pPr>
              <w:jc w:val="center"/>
              <w:rPr>
                <w:rFonts w:hint="eastAsia" w:ascii="宋体" w:hAnsi="宋体" w:eastAsia="宋体" w:cs="宋体"/>
                <w:i w:val="0"/>
                <w:iCs w:val="0"/>
                <w:color w:val="000000"/>
                <w:sz w:val="18"/>
                <w:szCs w:val="18"/>
                <w:u w:val="none" w:color="auto"/>
              </w:rPr>
            </w:pPr>
          </w:p>
        </w:tc>
        <w:tc>
          <w:tcPr>
            <w:tcW w:w="520" w:type="dxa"/>
            <w:gridSpan w:val="2"/>
            <w:tcBorders>
              <w:top w:val="single" w:color="000000" w:sz="4" w:space="0"/>
              <w:left w:val="single" w:color="000000" w:sz="4" w:space="0"/>
              <w:bottom w:val="nil"/>
              <w:right w:val="single" w:color="000000" w:sz="4" w:space="0"/>
            </w:tcBorders>
            <w:shd w:val="clear" w:color="auto" w:fill="auto"/>
            <w:vAlign w:val="center"/>
          </w:tcPr>
          <w:p w14:paraId="3EBCBDE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4</w:t>
            </w:r>
          </w:p>
        </w:tc>
        <w:tc>
          <w:tcPr>
            <w:tcW w:w="722" w:type="dxa"/>
            <w:gridSpan w:val="3"/>
            <w:tcBorders>
              <w:top w:val="single" w:color="000000" w:sz="4" w:space="0"/>
              <w:left w:val="single" w:color="000000" w:sz="4" w:space="0"/>
              <w:bottom w:val="nil"/>
              <w:right w:val="single" w:color="000000" w:sz="4" w:space="0"/>
            </w:tcBorders>
            <w:shd w:val="clear" w:color="auto" w:fill="auto"/>
            <w:vAlign w:val="center"/>
          </w:tcPr>
          <w:p w14:paraId="0D612A4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4</w:t>
            </w:r>
          </w:p>
        </w:tc>
        <w:tc>
          <w:tcPr>
            <w:tcW w:w="2840" w:type="dxa"/>
            <w:gridSpan w:val="3"/>
            <w:tcBorders>
              <w:top w:val="single" w:color="000000" w:sz="4" w:space="0"/>
              <w:left w:val="single" w:color="000000" w:sz="4" w:space="0"/>
              <w:bottom w:val="nil"/>
              <w:right w:val="single" w:color="000000" w:sz="4" w:space="0"/>
            </w:tcBorders>
            <w:shd w:val="clear" w:color="auto" w:fill="auto"/>
            <w:vAlign w:val="center"/>
          </w:tcPr>
          <w:p w14:paraId="48D38471">
            <w:pPr>
              <w:jc w:val="center"/>
              <w:rPr>
                <w:rFonts w:hint="eastAsia" w:ascii="宋体" w:hAnsi="宋体" w:eastAsia="宋体" w:cs="宋体"/>
                <w:i w:val="0"/>
                <w:iCs w:val="0"/>
                <w:color w:val="000000"/>
                <w:sz w:val="18"/>
                <w:szCs w:val="18"/>
                <w:u w:val="none" w:color="auto"/>
              </w:rPr>
            </w:pPr>
          </w:p>
        </w:tc>
      </w:tr>
      <w:tr w14:paraId="43702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543"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7B104203">
            <w:pPr>
              <w:jc w:val="center"/>
              <w:rPr>
                <w:rFonts w:hint="eastAsia" w:ascii="宋体" w:hAnsi="宋体" w:eastAsia="宋体" w:cs="宋体"/>
                <w:i w:val="0"/>
                <w:iCs w:val="0"/>
                <w:color w:val="000000"/>
                <w:sz w:val="18"/>
                <w:szCs w:val="18"/>
                <w:u w:val="none" w:color="auto"/>
              </w:rPr>
            </w:pPr>
          </w:p>
        </w:tc>
        <w:tc>
          <w:tcPr>
            <w:tcW w:w="592" w:type="dxa"/>
            <w:vMerge w:val="continue"/>
            <w:tcBorders>
              <w:top w:val="single" w:color="000000" w:sz="4" w:space="0"/>
              <w:left w:val="single" w:color="000000" w:sz="4" w:space="0"/>
              <w:bottom w:val="nil"/>
              <w:right w:val="single" w:color="000000" w:sz="4" w:space="0"/>
            </w:tcBorders>
            <w:shd w:val="clear" w:color="auto" w:fill="auto"/>
            <w:vAlign w:val="center"/>
          </w:tcPr>
          <w:p w14:paraId="3FECBBAB">
            <w:pPr>
              <w:jc w:val="center"/>
              <w:rPr>
                <w:rFonts w:hint="eastAsia" w:ascii="宋体" w:hAnsi="宋体" w:eastAsia="宋体" w:cs="宋体"/>
                <w:i w:val="0"/>
                <w:iCs w:val="0"/>
                <w:color w:val="000000"/>
                <w:sz w:val="18"/>
                <w:szCs w:val="18"/>
                <w:u w:val="none" w:color="auto"/>
              </w:rPr>
            </w:pPr>
          </w:p>
        </w:tc>
        <w:tc>
          <w:tcPr>
            <w:tcW w:w="821" w:type="dxa"/>
            <w:vMerge w:val="continue"/>
            <w:tcBorders>
              <w:top w:val="single" w:color="000000" w:sz="4" w:space="0"/>
              <w:left w:val="single" w:color="000000" w:sz="4" w:space="0"/>
              <w:bottom w:val="nil"/>
              <w:right w:val="single" w:color="000000" w:sz="4" w:space="0"/>
            </w:tcBorders>
            <w:shd w:val="clear" w:color="auto" w:fill="auto"/>
            <w:vAlign w:val="center"/>
          </w:tcPr>
          <w:p w14:paraId="7257B884">
            <w:pPr>
              <w:jc w:val="center"/>
              <w:rPr>
                <w:rFonts w:hint="eastAsia" w:ascii="宋体" w:hAnsi="宋体" w:eastAsia="宋体" w:cs="宋体"/>
                <w:i w:val="0"/>
                <w:iCs w:val="0"/>
                <w:color w:val="000000"/>
                <w:sz w:val="18"/>
                <w:szCs w:val="18"/>
                <w:u w:val="none" w:color="auto"/>
              </w:rPr>
            </w:pPr>
          </w:p>
        </w:tc>
        <w:tc>
          <w:tcPr>
            <w:tcW w:w="1475" w:type="dxa"/>
            <w:gridSpan w:val="3"/>
            <w:tcBorders>
              <w:top w:val="single" w:color="000000" w:sz="4" w:space="0"/>
              <w:left w:val="single" w:color="000000" w:sz="4" w:space="0"/>
              <w:bottom w:val="nil"/>
              <w:right w:val="single" w:color="000000" w:sz="4" w:space="0"/>
            </w:tcBorders>
            <w:shd w:val="clear" w:color="auto" w:fill="auto"/>
            <w:vAlign w:val="center"/>
          </w:tcPr>
          <w:p w14:paraId="101BEC6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老龄健康工作水平</w:t>
            </w:r>
          </w:p>
        </w:tc>
        <w:tc>
          <w:tcPr>
            <w:tcW w:w="543" w:type="dxa"/>
            <w:gridSpan w:val="2"/>
            <w:tcBorders>
              <w:top w:val="single" w:color="000000" w:sz="4" w:space="0"/>
              <w:left w:val="single" w:color="000000" w:sz="4" w:space="0"/>
              <w:bottom w:val="nil"/>
              <w:right w:val="single" w:color="000000" w:sz="4" w:space="0"/>
            </w:tcBorders>
            <w:shd w:val="clear" w:color="auto" w:fill="auto"/>
            <w:vAlign w:val="center"/>
          </w:tcPr>
          <w:p w14:paraId="2D39BF7A">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定性</w:t>
            </w:r>
          </w:p>
        </w:tc>
        <w:tc>
          <w:tcPr>
            <w:tcW w:w="543" w:type="dxa"/>
            <w:tcBorders>
              <w:top w:val="single" w:color="000000" w:sz="4" w:space="0"/>
              <w:left w:val="single" w:color="000000" w:sz="4" w:space="0"/>
              <w:bottom w:val="nil"/>
              <w:right w:val="single" w:color="000000" w:sz="4" w:space="0"/>
            </w:tcBorders>
            <w:shd w:val="clear" w:color="auto" w:fill="auto"/>
            <w:vAlign w:val="center"/>
          </w:tcPr>
          <w:p w14:paraId="4BAA55DA">
            <w:pPr>
              <w:jc w:val="center"/>
              <w:rPr>
                <w:rFonts w:hint="eastAsia" w:ascii="宋体" w:hAnsi="宋体" w:eastAsia="宋体" w:cs="宋体"/>
                <w:i w:val="0"/>
                <w:iCs w:val="0"/>
                <w:color w:val="000000"/>
                <w:sz w:val="18"/>
                <w:szCs w:val="18"/>
                <w:u w:val="none" w:color="auto"/>
              </w:rPr>
            </w:pPr>
          </w:p>
        </w:tc>
        <w:tc>
          <w:tcPr>
            <w:tcW w:w="809" w:type="dxa"/>
            <w:gridSpan w:val="3"/>
            <w:tcBorders>
              <w:top w:val="single" w:color="000000" w:sz="4" w:space="0"/>
              <w:left w:val="single" w:color="000000" w:sz="4" w:space="0"/>
              <w:bottom w:val="nil"/>
              <w:right w:val="single" w:color="000000" w:sz="4" w:space="0"/>
            </w:tcBorders>
            <w:shd w:val="clear" w:color="auto" w:fill="auto"/>
            <w:vAlign w:val="center"/>
          </w:tcPr>
          <w:p w14:paraId="10D3718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有所提高</w:t>
            </w:r>
          </w:p>
        </w:tc>
        <w:tc>
          <w:tcPr>
            <w:tcW w:w="809" w:type="dxa"/>
            <w:gridSpan w:val="2"/>
            <w:tcBorders>
              <w:top w:val="single" w:color="000000" w:sz="4" w:space="0"/>
              <w:left w:val="single" w:color="000000" w:sz="4" w:space="0"/>
              <w:bottom w:val="nil"/>
              <w:right w:val="single" w:color="000000" w:sz="4" w:space="0"/>
            </w:tcBorders>
            <w:shd w:val="clear" w:color="auto" w:fill="auto"/>
            <w:vAlign w:val="center"/>
          </w:tcPr>
          <w:p w14:paraId="0717A861">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有所提高</w:t>
            </w:r>
          </w:p>
        </w:tc>
        <w:tc>
          <w:tcPr>
            <w:tcW w:w="703" w:type="dxa"/>
            <w:gridSpan w:val="2"/>
            <w:tcBorders>
              <w:top w:val="single" w:color="000000" w:sz="4" w:space="0"/>
              <w:left w:val="single" w:color="000000" w:sz="4" w:space="0"/>
              <w:bottom w:val="nil"/>
              <w:right w:val="single" w:color="000000" w:sz="4" w:space="0"/>
            </w:tcBorders>
            <w:shd w:val="clear" w:color="auto" w:fill="auto"/>
            <w:vAlign w:val="center"/>
          </w:tcPr>
          <w:p w14:paraId="5AD5CC94">
            <w:pPr>
              <w:jc w:val="center"/>
              <w:rPr>
                <w:rFonts w:hint="eastAsia" w:ascii="宋体" w:hAnsi="宋体" w:eastAsia="宋体" w:cs="宋体"/>
                <w:i w:val="0"/>
                <w:iCs w:val="0"/>
                <w:color w:val="000000"/>
                <w:sz w:val="18"/>
                <w:szCs w:val="18"/>
                <w:u w:val="none" w:color="auto"/>
              </w:rPr>
            </w:pPr>
          </w:p>
        </w:tc>
        <w:tc>
          <w:tcPr>
            <w:tcW w:w="520" w:type="dxa"/>
            <w:gridSpan w:val="2"/>
            <w:tcBorders>
              <w:top w:val="single" w:color="000000" w:sz="4" w:space="0"/>
              <w:left w:val="single" w:color="000000" w:sz="4" w:space="0"/>
              <w:bottom w:val="nil"/>
              <w:right w:val="single" w:color="000000" w:sz="4" w:space="0"/>
            </w:tcBorders>
            <w:shd w:val="clear" w:color="auto" w:fill="auto"/>
            <w:vAlign w:val="center"/>
          </w:tcPr>
          <w:p w14:paraId="48BD8E3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4</w:t>
            </w:r>
          </w:p>
        </w:tc>
        <w:tc>
          <w:tcPr>
            <w:tcW w:w="722" w:type="dxa"/>
            <w:gridSpan w:val="3"/>
            <w:tcBorders>
              <w:top w:val="single" w:color="000000" w:sz="4" w:space="0"/>
              <w:left w:val="single" w:color="000000" w:sz="4" w:space="0"/>
              <w:bottom w:val="nil"/>
              <w:right w:val="single" w:color="000000" w:sz="4" w:space="0"/>
            </w:tcBorders>
            <w:shd w:val="clear" w:color="auto" w:fill="auto"/>
            <w:vAlign w:val="center"/>
          </w:tcPr>
          <w:p w14:paraId="66AF0BE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4</w:t>
            </w:r>
          </w:p>
        </w:tc>
        <w:tc>
          <w:tcPr>
            <w:tcW w:w="2840" w:type="dxa"/>
            <w:gridSpan w:val="3"/>
            <w:tcBorders>
              <w:top w:val="single" w:color="000000" w:sz="4" w:space="0"/>
              <w:left w:val="single" w:color="000000" w:sz="4" w:space="0"/>
              <w:bottom w:val="nil"/>
              <w:right w:val="single" w:color="000000" w:sz="4" w:space="0"/>
            </w:tcBorders>
            <w:shd w:val="clear" w:color="auto" w:fill="auto"/>
            <w:vAlign w:val="center"/>
          </w:tcPr>
          <w:p w14:paraId="2DF6BCCB">
            <w:pPr>
              <w:jc w:val="center"/>
              <w:rPr>
                <w:rFonts w:hint="eastAsia" w:ascii="宋体" w:hAnsi="宋体" w:eastAsia="宋体" w:cs="宋体"/>
                <w:i w:val="0"/>
                <w:iCs w:val="0"/>
                <w:color w:val="000000"/>
                <w:sz w:val="18"/>
                <w:szCs w:val="18"/>
                <w:u w:val="none" w:color="auto"/>
              </w:rPr>
            </w:pPr>
          </w:p>
        </w:tc>
      </w:tr>
      <w:tr w14:paraId="413F9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543"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4DF1DDDA">
            <w:pPr>
              <w:jc w:val="center"/>
              <w:rPr>
                <w:rFonts w:hint="eastAsia" w:ascii="宋体" w:hAnsi="宋体" w:eastAsia="宋体" w:cs="宋体"/>
                <w:i w:val="0"/>
                <w:iCs w:val="0"/>
                <w:color w:val="000000"/>
                <w:sz w:val="18"/>
                <w:szCs w:val="18"/>
                <w:u w:val="none" w:color="auto"/>
              </w:rPr>
            </w:pPr>
          </w:p>
        </w:tc>
        <w:tc>
          <w:tcPr>
            <w:tcW w:w="592" w:type="dxa"/>
            <w:vMerge w:val="continue"/>
            <w:tcBorders>
              <w:top w:val="single" w:color="000000" w:sz="4" w:space="0"/>
              <w:left w:val="single" w:color="000000" w:sz="4" w:space="0"/>
              <w:bottom w:val="nil"/>
              <w:right w:val="single" w:color="000000" w:sz="4" w:space="0"/>
            </w:tcBorders>
            <w:shd w:val="clear" w:color="auto" w:fill="auto"/>
            <w:vAlign w:val="center"/>
          </w:tcPr>
          <w:p w14:paraId="0691BA2C">
            <w:pPr>
              <w:jc w:val="center"/>
              <w:rPr>
                <w:rFonts w:hint="eastAsia" w:ascii="宋体" w:hAnsi="宋体" w:eastAsia="宋体" w:cs="宋体"/>
                <w:i w:val="0"/>
                <w:iCs w:val="0"/>
                <w:color w:val="000000"/>
                <w:sz w:val="18"/>
                <w:szCs w:val="18"/>
                <w:u w:val="none" w:color="auto"/>
              </w:rPr>
            </w:pPr>
          </w:p>
        </w:tc>
        <w:tc>
          <w:tcPr>
            <w:tcW w:w="821" w:type="dxa"/>
            <w:vMerge w:val="continue"/>
            <w:tcBorders>
              <w:top w:val="single" w:color="000000" w:sz="4" w:space="0"/>
              <w:left w:val="single" w:color="000000" w:sz="4" w:space="0"/>
              <w:bottom w:val="nil"/>
              <w:right w:val="single" w:color="000000" w:sz="4" w:space="0"/>
            </w:tcBorders>
            <w:shd w:val="clear" w:color="auto" w:fill="auto"/>
            <w:vAlign w:val="center"/>
          </w:tcPr>
          <w:p w14:paraId="346B45E8">
            <w:pPr>
              <w:jc w:val="center"/>
              <w:rPr>
                <w:rFonts w:hint="eastAsia" w:ascii="宋体" w:hAnsi="宋体" w:eastAsia="宋体" w:cs="宋体"/>
                <w:i w:val="0"/>
                <w:iCs w:val="0"/>
                <w:color w:val="000000"/>
                <w:sz w:val="18"/>
                <w:szCs w:val="18"/>
                <w:u w:val="none" w:color="auto"/>
              </w:rPr>
            </w:pPr>
          </w:p>
        </w:tc>
        <w:tc>
          <w:tcPr>
            <w:tcW w:w="1475" w:type="dxa"/>
            <w:gridSpan w:val="3"/>
            <w:tcBorders>
              <w:top w:val="single" w:color="000000" w:sz="4" w:space="0"/>
              <w:left w:val="single" w:color="000000" w:sz="4" w:space="0"/>
              <w:bottom w:val="nil"/>
              <w:right w:val="single" w:color="000000" w:sz="4" w:space="0"/>
            </w:tcBorders>
            <w:shd w:val="clear" w:color="auto" w:fill="auto"/>
            <w:vAlign w:val="center"/>
          </w:tcPr>
          <w:p w14:paraId="3F40CE1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婴幼儿照护服务</w:t>
            </w:r>
          </w:p>
        </w:tc>
        <w:tc>
          <w:tcPr>
            <w:tcW w:w="543" w:type="dxa"/>
            <w:gridSpan w:val="2"/>
            <w:tcBorders>
              <w:top w:val="single" w:color="000000" w:sz="4" w:space="0"/>
              <w:left w:val="single" w:color="000000" w:sz="4" w:space="0"/>
              <w:bottom w:val="nil"/>
              <w:right w:val="single" w:color="000000" w:sz="4" w:space="0"/>
            </w:tcBorders>
            <w:shd w:val="clear" w:color="auto" w:fill="auto"/>
            <w:vAlign w:val="center"/>
          </w:tcPr>
          <w:p w14:paraId="1FC2961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定性</w:t>
            </w:r>
          </w:p>
        </w:tc>
        <w:tc>
          <w:tcPr>
            <w:tcW w:w="543" w:type="dxa"/>
            <w:tcBorders>
              <w:top w:val="single" w:color="000000" w:sz="4" w:space="0"/>
              <w:left w:val="single" w:color="000000" w:sz="4" w:space="0"/>
              <w:bottom w:val="nil"/>
              <w:right w:val="single" w:color="000000" w:sz="4" w:space="0"/>
            </w:tcBorders>
            <w:shd w:val="clear" w:color="auto" w:fill="auto"/>
            <w:vAlign w:val="center"/>
          </w:tcPr>
          <w:p w14:paraId="41B46EB4">
            <w:pPr>
              <w:jc w:val="center"/>
              <w:rPr>
                <w:rFonts w:hint="eastAsia" w:ascii="宋体" w:hAnsi="宋体" w:eastAsia="宋体" w:cs="宋体"/>
                <w:i w:val="0"/>
                <w:iCs w:val="0"/>
                <w:color w:val="000000"/>
                <w:sz w:val="18"/>
                <w:szCs w:val="18"/>
                <w:u w:val="none" w:color="auto"/>
              </w:rPr>
            </w:pPr>
          </w:p>
        </w:tc>
        <w:tc>
          <w:tcPr>
            <w:tcW w:w="809" w:type="dxa"/>
            <w:gridSpan w:val="3"/>
            <w:tcBorders>
              <w:top w:val="single" w:color="000000" w:sz="4" w:space="0"/>
              <w:left w:val="single" w:color="000000" w:sz="4" w:space="0"/>
              <w:bottom w:val="nil"/>
              <w:right w:val="single" w:color="000000" w:sz="4" w:space="0"/>
            </w:tcBorders>
            <w:shd w:val="clear" w:color="auto" w:fill="auto"/>
            <w:vAlign w:val="center"/>
          </w:tcPr>
          <w:p w14:paraId="65364B6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有所加强</w:t>
            </w:r>
          </w:p>
        </w:tc>
        <w:tc>
          <w:tcPr>
            <w:tcW w:w="809" w:type="dxa"/>
            <w:gridSpan w:val="2"/>
            <w:tcBorders>
              <w:top w:val="single" w:color="000000" w:sz="4" w:space="0"/>
              <w:left w:val="single" w:color="000000" w:sz="4" w:space="0"/>
              <w:bottom w:val="nil"/>
              <w:right w:val="single" w:color="000000" w:sz="4" w:space="0"/>
            </w:tcBorders>
            <w:shd w:val="clear" w:color="auto" w:fill="auto"/>
            <w:vAlign w:val="center"/>
          </w:tcPr>
          <w:p w14:paraId="5789FC4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有所加强</w:t>
            </w:r>
          </w:p>
        </w:tc>
        <w:tc>
          <w:tcPr>
            <w:tcW w:w="703" w:type="dxa"/>
            <w:gridSpan w:val="2"/>
            <w:tcBorders>
              <w:top w:val="single" w:color="000000" w:sz="4" w:space="0"/>
              <w:left w:val="single" w:color="000000" w:sz="4" w:space="0"/>
              <w:bottom w:val="nil"/>
              <w:right w:val="single" w:color="000000" w:sz="4" w:space="0"/>
            </w:tcBorders>
            <w:shd w:val="clear" w:color="auto" w:fill="auto"/>
            <w:vAlign w:val="center"/>
          </w:tcPr>
          <w:p w14:paraId="4E3FF612">
            <w:pPr>
              <w:jc w:val="center"/>
              <w:rPr>
                <w:rFonts w:hint="eastAsia" w:ascii="宋体" w:hAnsi="宋体" w:eastAsia="宋体" w:cs="宋体"/>
                <w:i w:val="0"/>
                <w:iCs w:val="0"/>
                <w:color w:val="000000"/>
                <w:sz w:val="18"/>
                <w:szCs w:val="18"/>
                <w:u w:val="none" w:color="auto"/>
              </w:rPr>
            </w:pPr>
          </w:p>
        </w:tc>
        <w:tc>
          <w:tcPr>
            <w:tcW w:w="520" w:type="dxa"/>
            <w:gridSpan w:val="2"/>
            <w:tcBorders>
              <w:top w:val="single" w:color="000000" w:sz="4" w:space="0"/>
              <w:left w:val="single" w:color="000000" w:sz="4" w:space="0"/>
              <w:bottom w:val="nil"/>
              <w:right w:val="single" w:color="000000" w:sz="4" w:space="0"/>
            </w:tcBorders>
            <w:shd w:val="clear" w:color="auto" w:fill="auto"/>
            <w:vAlign w:val="center"/>
          </w:tcPr>
          <w:p w14:paraId="7E1B91C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4</w:t>
            </w:r>
          </w:p>
        </w:tc>
        <w:tc>
          <w:tcPr>
            <w:tcW w:w="722" w:type="dxa"/>
            <w:gridSpan w:val="3"/>
            <w:tcBorders>
              <w:top w:val="single" w:color="000000" w:sz="4" w:space="0"/>
              <w:left w:val="single" w:color="000000" w:sz="4" w:space="0"/>
              <w:bottom w:val="nil"/>
              <w:right w:val="single" w:color="000000" w:sz="4" w:space="0"/>
            </w:tcBorders>
            <w:shd w:val="clear" w:color="auto" w:fill="auto"/>
            <w:vAlign w:val="center"/>
          </w:tcPr>
          <w:p w14:paraId="0AD28A2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4</w:t>
            </w:r>
          </w:p>
        </w:tc>
        <w:tc>
          <w:tcPr>
            <w:tcW w:w="2840" w:type="dxa"/>
            <w:gridSpan w:val="3"/>
            <w:tcBorders>
              <w:top w:val="single" w:color="000000" w:sz="4" w:space="0"/>
              <w:left w:val="single" w:color="000000" w:sz="4" w:space="0"/>
              <w:bottom w:val="nil"/>
              <w:right w:val="single" w:color="000000" w:sz="4" w:space="0"/>
            </w:tcBorders>
            <w:shd w:val="clear" w:color="auto" w:fill="auto"/>
            <w:vAlign w:val="center"/>
          </w:tcPr>
          <w:p w14:paraId="2FCED559">
            <w:pPr>
              <w:jc w:val="center"/>
              <w:rPr>
                <w:rFonts w:hint="eastAsia" w:ascii="宋体" w:hAnsi="宋体" w:eastAsia="宋体" w:cs="宋体"/>
                <w:i w:val="0"/>
                <w:iCs w:val="0"/>
                <w:color w:val="000000"/>
                <w:sz w:val="18"/>
                <w:szCs w:val="18"/>
                <w:u w:val="none" w:color="auto"/>
              </w:rPr>
            </w:pPr>
          </w:p>
        </w:tc>
      </w:tr>
      <w:tr w14:paraId="58005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543"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54BBC47A">
            <w:pPr>
              <w:jc w:val="center"/>
              <w:rPr>
                <w:rFonts w:hint="eastAsia" w:ascii="宋体" w:hAnsi="宋体" w:eastAsia="宋体" w:cs="宋体"/>
                <w:i w:val="0"/>
                <w:iCs w:val="0"/>
                <w:color w:val="000000"/>
                <w:sz w:val="18"/>
                <w:szCs w:val="18"/>
                <w:u w:val="none" w:color="auto"/>
              </w:rPr>
            </w:pPr>
          </w:p>
        </w:tc>
        <w:tc>
          <w:tcPr>
            <w:tcW w:w="592" w:type="dxa"/>
            <w:vMerge w:val="continue"/>
            <w:tcBorders>
              <w:top w:val="single" w:color="000000" w:sz="4" w:space="0"/>
              <w:left w:val="single" w:color="000000" w:sz="4" w:space="0"/>
              <w:bottom w:val="nil"/>
              <w:right w:val="single" w:color="000000" w:sz="4" w:space="0"/>
            </w:tcBorders>
            <w:shd w:val="clear" w:color="auto" w:fill="auto"/>
            <w:vAlign w:val="center"/>
          </w:tcPr>
          <w:p w14:paraId="1C72F058">
            <w:pPr>
              <w:jc w:val="center"/>
              <w:rPr>
                <w:rFonts w:hint="eastAsia" w:ascii="宋体" w:hAnsi="宋体" w:eastAsia="宋体" w:cs="宋体"/>
                <w:i w:val="0"/>
                <w:iCs w:val="0"/>
                <w:color w:val="000000"/>
                <w:sz w:val="18"/>
                <w:szCs w:val="18"/>
                <w:u w:val="none" w:color="auto"/>
              </w:rPr>
            </w:pPr>
          </w:p>
        </w:tc>
        <w:tc>
          <w:tcPr>
            <w:tcW w:w="821" w:type="dxa"/>
            <w:vMerge w:val="continue"/>
            <w:tcBorders>
              <w:top w:val="single" w:color="000000" w:sz="4" w:space="0"/>
              <w:left w:val="single" w:color="000000" w:sz="4" w:space="0"/>
              <w:bottom w:val="nil"/>
              <w:right w:val="single" w:color="000000" w:sz="4" w:space="0"/>
            </w:tcBorders>
            <w:shd w:val="clear" w:color="auto" w:fill="auto"/>
            <w:vAlign w:val="center"/>
          </w:tcPr>
          <w:p w14:paraId="78B6B3C6">
            <w:pPr>
              <w:jc w:val="center"/>
              <w:rPr>
                <w:rFonts w:hint="eastAsia" w:ascii="宋体" w:hAnsi="宋体" w:eastAsia="宋体" w:cs="宋体"/>
                <w:i w:val="0"/>
                <w:iCs w:val="0"/>
                <w:color w:val="000000"/>
                <w:sz w:val="18"/>
                <w:szCs w:val="18"/>
                <w:u w:val="none" w:color="auto"/>
              </w:rPr>
            </w:pPr>
          </w:p>
        </w:tc>
        <w:tc>
          <w:tcPr>
            <w:tcW w:w="1475" w:type="dxa"/>
            <w:gridSpan w:val="3"/>
            <w:tcBorders>
              <w:top w:val="single" w:color="000000" w:sz="4" w:space="0"/>
              <w:left w:val="single" w:color="000000" w:sz="4" w:space="0"/>
              <w:bottom w:val="nil"/>
              <w:right w:val="single" w:color="000000" w:sz="4" w:space="0"/>
            </w:tcBorders>
            <w:shd w:val="clear" w:color="auto" w:fill="auto"/>
            <w:vAlign w:val="center"/>
          </w:tcPr>
          <w:p w14:paraId="5078A051">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母婴健康安全</w:t>
            </w:r>
          </w:p>
        </w:tc>
        <w:tc>
          <w:tcPr>
            <w:tcW w:w="543" w:type="dxa"/>
            <w:gridSpan w:val="2"/>
            <w:tcBorders>
              <w:top w:val="single" w:color="000000" w:sz="4" w:space="0"/>
              <w:left w:val="single" w:color="000000" w:sz="4" w:space="0"/>
              <w:bottom w:val="nil"/>
              <w:right w:val="single" w:color="000000" w:sz="4" w:space="0"/>
            </w:tcBorders>
            <w:shd w:val="clear" w:color="auto" w:fill="auto"/>
            <w:vAlign w:val="center"/>
          </w:tcPr>
          <w:p w14:paraId="0F15B67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定性</w:t>
            </w:r>
          </w:p>
        </w:tc>
        <w:tc>
          <w:tcPr>
            <w:tcW w:w="543" w:type="dxa"/>
            <w:tcBorders>
              <w:top w:val="single" w:color="000000" w:sz="4" w:space="0"/>
              <w:left w:val="single" w:color="000000" w:sz="4" w:space="0"/>
              <w:bottom w:val="nil"/>
              <w:right w:val="single" w:color="000000" w:sz="4" w:space="0"/>
            </w:tcBorders>
            <w:shd w:val="clear" w:color="auto" w:fill="auto"/>
            <w:vAlign w:val="center"/>
          </w:tcPr>
          <w:p w14:paraId="34653049">
            <w:pPr>
              <w:jc w:val="center"/>
              <w:rPr>
                <w:rFonts w:hint="eastAsia" w:ascii="宋体" w:hAnsi="宋体" w:eastAsia="宋体" w:cs="宋体"/>
                <w:i w:val="0"/>
                <w:iCs w:val="0"/>
                <w:color w:val="000000"/>
                <w:sz w:val="18"/>
                <w:szCs w:val="18"/>
                <w:u w:val="none" w:color="auto"/>
              </w:rPr>
            </w:pPr>
          </w:p>
        </w:tc>
        <w:tc>
          <w:tcPr>
            <w:tcW w:w="809" w:type="dxa"/>
            <w:gridSpan w:val="3"/>
            <w:tcBorders>
              <w:top w:val="single" w:color="000000" w:sz="4" w:space="0"/>
              <w:left w:val="single" w:color="000000" w:sz="4" w:space="0"/>
              <w:bottom w:val="nil"/>
              <w:right w:val="single" w:color="000000" w:sz="4" w:space="0"/>
            </w:tcBorders>
            <w:shd w:val="clear" w:color="auto" w:fill="auto"/>
            <w:vAlign w:val="center"/>
          </w:tcPr>
          <w:p w14:paraId="3995004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有所保障</w:t>
            </w:r>
          </w:p>
        </w:tc>
        <w:tc>
          <w:tcPr>
            <w:tcW w:w="809" w:type="dxa"/>
            <w:gridSpan w:val="2"/>
            <w:tcBorders>
              <w:top w:val="single" w:color="000000" w:sz="4" w:space="0"/>
              <w:left w:val="single" w:color="000000" w:sz="4" w:space="0"/>
              <w:bottom w:val="nil"/>
              <w:right w:val="single" w:color="000000" w:sz="4" w:space="0"/>
            </w:tcBorders>
            <w:shd w:val="clear" w:color="auto" w:fill="auto"/>
            <w:vAlign w:val="center"/>
          </w:tcPr>
          <w:p w14:paraId="74988DFA">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有所保障</w:t>
            </w:r>
          </w:p>
        </w:tc>
        <w:tc>
          <w:tcPr>
            <w:tcW w:w="703" w:type="dxa"/>
            <w:gridSpan w:val="2"/>
            <w:tcBorders>
              <w:top w:val="single" w:color="000000" w:sz="4" w:space="0"/>
              <w:left w:val="single" w:color="000000" w:sz="4" w:space="0"/>
              <w:bottom w:val="nil"/>
              <w:right w:val="single" w:color="000000" w:sz="4" w:space="0"/>
            </w:tcBorders>
            <w:shd w:val="clear" w:color="auto" w:fill="auto"/>
            <w:vAlign w:val="center"/>
          </w:tcPr>
          <w:p w14:paraId="5A58DA59">
            <w:pPr>
              <w:jc w:val="center"/>
              <w:rPr>
                <w:rFonts w:hint="eastAsia" w:ascii="宋体" w:hAnsi="宋体" w:eastAsia="宋体" w:cs="宋体"/>
                <w:i w:val="0"/>
                <w:iCs w:val="0"/>
                <w:color w:val="000000"/>
                <w:sz w:val="18"/>
                <w:szCs w:val="18"/>
                <w:u w:val="none" w:color="auto"/>
              </w:rPr>
            </w:pPr>
          </w:p>
        </w:tc>
        <w:tc>
          <w:tcPr>
            <w:tcW w:w="520" w:type="dxa"/>
            <w:gridSpan w:val="2"/>
            <w:tcBorders>
              <w:top w:val="single" w:color="000000" w:sz="4" w:space="0"/>
              <w:left w:val="single" w:color="000000" w:sz="4" w:space="0"/>
              <w:bottom w:val="nil"/>
              <w:right w:val="single" w:color="000000" w:sz="4" w:space="0"/>
            </w:tcBorders>
            <w:shd w:val="clear" w:color="auto" w:fill="auto"/>
            <w:vAlign w:val="center"/>
          </w:tcPr>
          <w:p w14:paraId="4E9541B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4</w:t>
            </w:r>
          </w:p>
        </w:tc>
        <w:tc>
          <w:tcPr>
            <w:tcW w:w="722" w:type="dxa"/>
            <w:gridSpan w:val="3"/>
            <w:tcBorders>
              <w:top w:val="single" w:color="000000" w:sz="4" w:space="0"/>
              <w:left w:val="single" w:color="000000" w:sz="4" w:space="0"/>
              <w:bottom w:val="nil"/>
              <w:right w:val="single" w:color="000000" w:sz="4" w:space="0"/>
            </w:tcBorders>
            <w:shd w:val="clear" w:color="auto" w:fill="auto"/>
            <w:vAlign w:val="center"/>
          </w:tcPr>
          <w:p w14:paraId="359BFCB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4</w:t>
            </w:r>
          </w:p>
        </w:tc>
        <w:tc>
          <w:tcPr>
            <w:tcW w:w="2840" w:type="dxa"/>
            <w:gridSpan w:val="3"/>
            <w:tcBorders>
              <w:top w:val="single" w:color="000000" w:sz="4" w:space="0"/>
              <w:left w:val="single" w:color="000000" w:sz="4" w:space="0"/>
              <w:bottom w:val="nil"/>
              <w:right w:val="single" w:color="000000" w:sz="4" w:space="0"/>
            </w:tcBorders>
            <w:shd w:val="clear" w:color="auto" w:fill="auto"/>
            <w:vAlign w:val="center"/>
          </w:tcPr>
          <w:p w14:paraId="4437B19D">
            <w:pPr>
              <w:jc w:val="center"/>
              <w:rPr>
                <w:rFonts w:hint="eastAsia" w:ascii="宋体" w:hAnsi="宋体" w:eastAsia="宋体" w:cs="宋体"/>
                <w:i w:val="0"/>
                <w:iCs w:val="0"/>
                <w:color w:val="000000"/>
                <w:sz w:val="18"/>
                <w:szCs w:val="18"/>
                <w:u w:val="none" w:color="auto"/>
              </w:rPr>
            </w:pPr>
          </w:p>
        </w:tc>
      </w:tr>
      <w:tr w14:paraId="39AA4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543"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4AFB9505">
            <w:pPr>
              <w:jc w:val="center"/>
              <w:rPr>
                <w:rFonts w:hint="eastAsia" w:ascii="宋体" w:hAnsi="宋体" w:eastAsia="宋体" w:cs="宋体"/>
                <w:i w:val="0"/>
                <w:iCs w:val="0"/>
                <w:color w:val="000000"/>
                <w:sz w:val="18"/>
                <w:szCs w:val="18"/>
                <w:u w:val="none" w:color="auto"/>
              </w:rPr>
            </w:pPr>
          </w:p>
        </w:tc>
        <w:tc>
          <w:tcPr>
            <w:tcW w:w="592" w:type="dxa"/>
            <w:vMerge w:val="continue"/>
            <w:tcBorders>
              <w:top w:val="single" w:color="000000" w:sz="4" w:space="0"/>
              <w:left w:val="single" w:color="000000" w:sz="4" w:space="0"/>
              <w:bottom w:val="nil"/>
              <w:right w:val="single" w:color="000000" w:sz="4" w:space="0"/>
            </w:tcBorders>
            <w:shd w:val="clear" w:color="auto" w:fill="auto"/>
            <w:vAlign w:val="center"/>
          </w:tcPr>
          <w:p w14:paraId="547957CB">
            <w:pPr>
              <w:jc w:val="center"/>
              <w:rPr>
                <w:rFonts w:hint="eastAsia" w:ascii="宋体" w:hAnsi="宋体" w:eastAsia="宋体" w:cs="宋体"/>
                <w:i w:val="0"/>
                <w:iCs w:val="0"/>
                <w:color w:val="000000"/>
                <w:sz w:val="18"/>
                <w:szCs w:val="18"/>
                <w:u w:val="none" w:color="auto"/>
              </w:rPr>
            </w:pPr>
          </w:p>
        </w:tc>
        <w:tc>
          <w:tcPr>
            <w:tcW w:w="821" w:type="dxa"/>
            <w:vMerge w:val="continue"/>
            <w:tcBorders>
              <w:top w:val="single" w:color="000000" w:sz="4" w:space="0"/>
              <w:left w:val="single" w:color="000000" w:sz="4" w:space="0"/>
              <w:bottom w:val="nil"/>
              <w:right w:val="single" w:color="000000" w:sz="4" w:space="0"/>
            </w:tcBorders>
            <w:shd w:val="clear" w:color="auto" w:fill="auto"/>
            <w:vAlign w:val="center"/>
          </w:tcPr>
          <w:p w14:paraId="7350C0FE">
            <w:pPr>
              <w:jc w:val="center"/>
              <w:rPr>
                <w:rFonts w:hint="eastAsia" w:ascii="宋体" w:hAnsi="宋体" w:eastAsia="宋体" w:cs="宋体"/>
                <w:i w:val="0"/>
                <w:iCs w:val="0"/>
                <w:color w:val="000000"/>
                <w:sz w:val="18"/>
                <w:szCs w:val="18"/>
                <w:u w:val="none" w:color="auto"/>
              </w:rPr>
            </w:pPr>
          </w:p>
        </w:tc>
        <w:tc>
          <w:tcPr>
            <w:tcW w:w="1475" w:type="dxa"/>
            <w:gridSpan w:val="3"/>
            <w:tcBorders>
              <w:top w:val="single" w:color="000000" w:sz="4" w:space="0"/>
              <w:left w:val="single" w:color="000000" w:sz="4" w:space="0"/>
              <w:bottom w:val="nil"/>
              <w:right w:val="single" w:color="000000" w:sz="4" w:space="0"/>
            </w:tcBorders>
            <w:shd w:val="clear" w:color="auto" w:fill="auto"/>
            <w:vAlign w:val="center"/>
          </w:tcPr>
          <w:p w14:paraId="7E0FA38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卫生健康服务水平</w:t>
            </w:r>
          </w:p>
        </w:tc>
        <w:tc>
          <w:tcPr>
            <w:tcW w:w="543" w:type="dxa"/>
            <w:gridSpan w:val="2"/>
            <w:tcBorders>
              <w:top w:val="single" w:color="000000" w:sz="4" w:space="0"/>
              <w:left w:val="single" w:color="000000" w:sz="4" w:space="0"/>
              <w:bottom w:val="nil"/>
              <w:right w:val="single" w:color="000000" w:sz="4" w:space="0"/>
            </w:tcBorders>
            <w:shd w:val="clear" w:color="auto" w:fill="auto"/>
            <w:vAlign w:val="center"/>
          </w:tcPr>
          <w:p w14:paraId="16064EF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定性</w:t>
            </w:r>
          </w:p>
        </w:tc>
        <w:tc>
          <w:tcPr>
            <w:tcW w:w="543" w:type="dxa"/>
            <w:tcBorders>
              <w:top w:val="single" w:color="000000" w:sz="4" w:space="0"/>
              <w:left w:val="single" w:color="000000" w:sz="4" w:space="0"/>
              <w:bottom w:val="nil"/>
              <w:right w:val="single" w:color="000000" w:sz="4" w:space="0"/>
            </w:tcBorders>
            <w:shd w:val="clear" w:color="auto" w:fill="auto"/>
            <w:vAlign w:val="center"/>
          </w:tcPr>
          <w:p w14:paraId="6289AE14">
            <w:pPr>
              <w:jc w:val="center"/>
              <w:rPr>
                <w:rFonts w:hint="eastAsia" w:ascii="宋体" w:hAnsi="宋体" w:eastAsia="宋体" w:cs="宋体"/>
                <w:i w:val="0"/>
                <w:iCs w:val="0"/>
                <w:color w:val="000000"/>
                <w:sz w:val="18"/>
                <w:szCs w:val="18"/>
                <w:u w:val="none" w:color="auto"/>
              </w:rPr>
            </w:pPr>
          </w:p>
        </w:tc>
        <w:tc>
          <w:tcPr>
            <w:tcW w:w="809" w:type="dxa"/>
            <w:gridSpan w:val="3"/>
            <w:tcBorders>
              <w:top w:val="single" w:color="000000" w:sz="4" w:space="0"/>
              <w:left w:val="single" w:color="000000" w:sz="4" w:space="0"/>
              <w:bottom w:val="nil"/>
              <w:right w:val="single" w:color="000000" w:sz="4" w:space="0"/>
            </w:tcBorders>
            <w:shd w:val="clear" w:color="auto" w:fill="auto"/>
            <w:vAlign w:val="center"/>
          </w:tcPr>
          <w:p w14:paraId="2FA9D3F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有所提高</w:t>
            </w:r>
          </w:p>
        </w:tc>
        <w:tc>
          <w:tcPr>
            <w:tcW w:w="809" w:type="dxa"/>
            <w:gridSpan w:val="2"/>
            <w:tcBorders>
              <w:top w:val="single" w:color="000000" w:sz="4" w:space="0"/>
              <w:left w:val="single" w:color="000000" w:sz="4" w:space="0"/>
              <w:bottom w:val="nil"/>
              <w:right w:val="single" w:color="000000" w:sz="4" w:space="0"/>
            </w:tcBorders>
            <w:shd w:val="clear" w:color="auto" w:fill="auto"/>
            <w:vAlign w:val="center"/>
          </w:tcPr>
          <w:p w14:paraId="3F5DCE3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有所提高</w:t>
            </w:r>
          </w:p>
        </w:tc>
        <w:tc>
          <w:tcPr>
            <w:tcW w:w="703" w:type="dxa"/>
            <w:gridSpan w:val="2"/>
            <w:tcBorders>
              <w:top w:val="single" w:color="000000" w:sz="4" w:space="0"/>
              <w:left w:val="single" w:color="000000" w:sz="4" w:space="0"/>
              <w:bottom w:val="nil"/>
              <w:right w:val="single" w:color="000000" w:sz="4" w:space="0"/>
            </w:tcBorders>
            <w:shd w:val="clear" w:color="auto" w:fill="auto"/>
            <w:vAlign w:val="center"/>
          </w:tcPr>
          <w:p w14:paraId="5507568D">
            <w:pPr>
              <w:jc w:val="center"/>
              <w:rPr>
                <w:rFonts w:hint="eastAsia" w:ascii="宋体" w:hAnsi="宋体" w:eastAsia="宋体" w:cs="宋体"/>
                <w:i w:val="0"/>
                <w:iCs w:val="0"/>
                <w:color w:val="000000"/>
                <w:sz w:val="18"/>
                <w:szCs w:val="18"/>
                <w:u w:val="none" w:color="auto"/>
              </w:rPr>
            </w:pPr>
          </w:p>
        </w:tc>
        <w:tc>
          <w:tcPr>
            <w:tcW w:w="520" w:type="dxa"/>
            <w:gridSpan w:val="2"/>
            <w:tcBorders>
              <w:top w:val="single" w:color="000000" w:sz="4" w:space="0"/>
              <w:left w:val="single" w:color="000000" w:sz="4" w:space="0"/>
              <w:bottom w:val="nil"/>
              <w:right w:val="single" w:color="000000" w:sz="4" w:space="0"/>
            </w:tcBorders>
            <w:shd w:val="clear" w:color="auto" w:fill="auto"/>
            <w:vAlign w:val="center"/>
          </w:tcPr>
          <w:p w14:paraId="47B011D6">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722" w:type="dxa"/>
            <w:gridSpan w:val="3"/>
            <w:tcBorders>
              <w:top w:val="single" w:color="000000" w:sz="4" w:space="0"/>
              <w:left w:val="single" w:color="000000" w:sz="4" w:space="0"/>
              <w:bottom w:val="nil"/>
              <w:right w:val="single" w:color="000000" w:sz="4" w:space="0"/>
            </w:tcBorders>
            <w:shd w:val="clear" w:color="auto" w:fill="auto"/>
            <w:vAlign w:val="center"/>
          </w:tcPr>
          <w:p w14:paraId="2C421E6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2840" w:type="dxa"/>
            <w:gridSpan w:val="3"/>
            <w:tcBorders>
              <w:top w:val="single" w:color="000000" w:sz="4" w:space="0"/>
              <w:left w:val="single" w:color="000000" w:sz="4" w:space="0"/>
              <w:bottom w:val="nil"/>
              <w:right w:val="single" w:color="000000" w:sz="4" w:space="0"/>
            </w:tcBorders>
            <w:shd w:val="clear" w:color="auto" w:fill="auto"/>
            <w:vAlign w:val="center"/>
          </w:tcPr>
          <w:p w14:paraId="776C9486">
            <w:pPr>
              <w:jc w:val="center"/>
              <w:rPr>
                <w:rFonts w:hint="eastAsia" w:ascii="宋体" w:hAnsi="宋体" w:eastAsia="宋体" w:cs="宋体"/>
                <w:i w:val="0"/>
                <w:iCs w:val="0"/>
                <w:color w:val="000000"/>
                <w:sz w:val="18"/>
                <w:szCs w:val="18"/>
                <w:u w:val="none" w:color="auto"/>
              </w:rPr>
            </w:pPr>
          </w:p>
        </w:tc>
      </w:tr>
      <w:tr w14:paraId="1BA35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543"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5E36E511">
            <w:pPr>
              <w:jc w:val="center"/>
              <w:rPr>
                <w:rFonts w:hint="eastAsia" w:ascii="宋体" w:hAnsi="宋体" w:eastAsia="宋体" w:cs="宋体"/>
                <w:i w:val="0"/>
                <w:iCs w:val="0"/>
                <w:color w:val="000000"/>
                <w:sz w:val="18"/>
                <w:szCs w:val="18"/>
                <w:u w:val="none" w:color="auto"/>
              </w:rPr>
            </w:pPr>
          </w:p>
        </w:tc>
        <w:tc>
          <w:tcPr>
            <w:tcW w:w="592" w:type="dxa"/>
            <w:vMerge w:val="continue"/>
            <w:tcBorders>
              <w:top w:val="single" w:color="000000" w:sz="4" w:space="0"/>
              <w:left w:val="single" w:color="000000" w:sz="4" w:space="0"/>
              <w:bottom w:val="nil"/>
              <w:right w:val="single" w:color="000000" w:sz="4" w:space="0"/>
            </w:tcBorders>
            <w:shd w:val="clear" w:color="auto" w:fill="auto"/>
            <w:vAlign w:val="center"/>
          </w:tcPr>
          <w:p w14:paraId="29E8D9B7">
            <w:pPr>
              <w:jc w:val="center"/>
              <w:rPr>
                <w:rFonts w:hint="eastAsia" w:ascii="宋体" w:hAnsi="宋体" w:eastAsia="宋体" w:cs="宋体"/>
                <w:i w:val="0"/>
                <w:iCs w:val="0"/>
                <w:color w:val="000000"/>
                <w:sz w:val="18"/>
                <w:szCs w:val="18"/>
                <w:u w:val="none" w:color="auto"/>
              </w:rPr>
            </w:pPr>
          </w:p>
        </w:tc>
        <w:tc>
          <w:tcPr>
            <w:tcW w:w="821" w:type="dxa"/>
            <w:tcBorders>
              <w:top w:val="single" w:color="000000" w:sz="4" w:space="0"/>
              <w:left w:val="single" w:color="000000" w:sz="4" w:space="0"/>
              <w:bottom w:val="nil"/>
              <w:right w:val="single" w:color="000000" w:sz="4" w:space="0"/>
            </w:tcBorders>
            <w:shd w:val="clear" w:color="auto" w:fill="auto"/>
            <w:vAlign w:val="center"/>
          </w:tcPr>
          <w:p w14:paraId="0DC8C4B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可持续影响</w:t>
            </w:r>
          </w:p>
        </w:tc>
        <w:tc>
          <w:tcPr>
            <w:tcW w:w="1475" w:type="dxa"/>
            <w:gridSpan w:val="3"/>
            <w:tcBorders>
              <w:top w:val="single" w:color="000000" w:sz="4" w:space="0"/>
              <w:left w:val="single" w:color="000000" w:sz="4" w:space="0"/>
              <w:bottom w:val="nil"/>
              <w:right w:val="single" w:color="000000" w:sz="4" w:space="0"/>
            </w:tcBorders>
            <w:shd w:val="clear" w:color="auto" w:fill="auto"/>
            <w:vAlign w:val="center"/>
          </w:tcPr>
          <w:p w14:paraId="7372CA7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项目可持续影响期限</w:t>
            </w:r>
          </w:p>
        </w:tc>
        <w:tc>
          <w:tcPr>
            <w:tcW w:w="543" w:type="dxa"/>
            <w:gridSpan w:val="2"/>
            <w:tcBorders>
              <w:top w:val="single" w:color="000000" w:sz="4" w:space="0"/>
              <w:left w:val="single" w:color="000000" w:sz="4" w:space="0"/>
              <w:bottom w:val="nil"/>
              <w:right w:val="single" w:color="000000" w:sz="4" w:space="0"/>
            </w:tcBorders>
            <w:shd w:val="clear" w:color="auto" w:fill="auto"/>
            <w:vAlign w:val="center"/>
          </w:tcPr>
          <w:p w14:paraId="6F655FB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定性</w:t>
            </w:r>
          </w:p>
        </w:tc>
        <w:tc>
          <w:tcPr>
            <w:tcW w:w="543" w:type="dxa"/>
            <w:tcBorders>
              <w:top w:val="single" w:color="000000" w:sz="4" w:space="0"/>
              <w:left w:val="single" w:color="000000" w:sz="4" w:space="0"/>
              <w:bottom w:val="nil"/>
              <w:right w:val="single" w:color="000000" w:sz="4" w:space="0"/>
            </w:tcBorders>
            <w:shd w:val="clear" w:color="auto" w:fill="auto"/>
            <w:vAlign w:val="center"/>
          </w:tcPr>
          <w:p w14:paraId="46F13951">
            <w:pPr>
              <w:jc w:val="center"/>
              <w:rPr>
                <w:rFonts w:hint="eastAsia" w:ascii="宋体" w:hAnsi="宋体" w:eastAsia="宋体" w:cs="宋体"/>
                <w:i w:val="0"/>
                <w:iCs w:val="0"/>
                <w:color w:val="000000"/>
                <w:sz w:val="18"/>
                <w:szCs w:val="18"/>
                <w:u w:val="none" w:color="auto"/>
              </w:rPr>
            </w:pPr>
          </w:p>
        </w:tc>
        <w:tc>
          <w:tcPr>
            <w:tcW w:w="809" w:type="dxa"/>
            <w:gridSpan w:val="3"/>
            <w:tcBorders>
              <w:top w:val="single" w:color="000000" w:sz="4" w:space="0"/>
              <w:left w:val="single" w:color="000000" w:sz="4" w:space="0"/>
              <w:bottom w:val="nil"/>
              <w:right w:val="single" w:color="000000" w:sz="4" w:space="0"/>
            </w:tcBorders>
            <w:shd w:val="clear" w:color="auto" w:fill="auto"/>
            <w:vAlign w:val="center"/>
          </w:tcPr>
          <w:p w14:paraId="623B830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长期</w:t>
            </w:r>
          </w:p>
        </w:tc>
        <w:tc>
          <w:tcPr>
            <w:tcW w:w="809" w:type="dxa"/>
            <w:gridSpan w:val="2"/>
            <w:tcBorders>
              <w:top w:val="single" w:color="000000" w:sz="4" w:space="0"/>
              <w:left w:val="single" w:color="000000" w:sz="4" w:space="0"/>
              <w:bottom w:val="nil"/>
              <w:right w:val="single" w:color="000000" w:sz="4" w:space="0"/>
            </w:tcBorders>
            <w:shd w:val="clear" w:color="auto" w:fill="auto"/>
            <w:vAlign w:val="center"/>
          </w:tcPr>
          <w:p w14:paraId="32FC8B7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长期</w:t>
            </w:r>
          </w:p>
        </w:tc>
        <w:tc>
          <w:tcPr>
            <w:tcW w:w="703" w:type="dxa"/>
            <w:gridSpan w:val="2"/>
            <w:tcBorders>
              <w:top w:val="single" w:color="000000" w:sz="4" w:space="0"/>
              <w:left w:val="single" w:color="000000" w:sz="4" w:space="0"/>
              <w:bottom w:val="nil"/>
              <w:right w:val="single" w:color="000000" w:sz="4" w:space="0"/>
            </w:tcBorders>
            <w:shd w:val="clear" w:color="auto" w:fill="auto"/>
            <w:vAlign w:val="center"/>
          </w:tcPr>
          <w:p w14:paraId="18EE30CE">
            <w:pPr>
              <w:jc w:val="center"/>
              <w:rPr>
                <w:rFonts w:hint="eastAsia" w:ascii="宋体" w:hAnsi="宋体" w:eastAsia="宋体" w:cs="宋体"/>
                <w:i w:val="0"/>
                <w:iCs w:val="0"/>
                <w:color w:val="000000"/>
                <w:sz w:val="18"/>
                <w:szCs w:val="18"/>
                <w:u w:val="none" w:color="auto"/>
              </w:rPr>
            </w:pPr>
          </w:p>
        </w:tc>
        <w:tc>
          <w:tcPr>
            <w:tcW w:w="520" w:type="dxa"/>
            <w:gridSpan w:val="2"/>
            <w:tcBorders>
              <w:top w:val="single" w:color="000000" w:sz="4" w:space="0"/>
              <w:left w:val="single" w:color="000000" w:sz="4" w:space="0"/>
              <w:bottom w:val="nil"/>
              <w:right w:val="single" w:color="000000" w:sz="4" w:space="0"/>
            </w:tcBorders>
            <w:shd w:val="clear" w:color="auto" w:fill="auto"/>
            <w:vAlign w:val="center"/>
          </w:tcPr>
          <w:p w14:paraId="0657DDF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722" w:type="dxa"/>
            <w:gridSpan w:val="3"/>
            <w:tcBorders>
              <w:top w:val="single" w:color="000000" w:sz="4" w:space="0"/>
              <w:left w:val="single" w:color="000000" w:sz="4" w:space="0"/>
              <w:bottom w:val="nil"/>
              <w:right w:val="single" w:color="000000" w:sz="4" w:space="0"/>
            </w:tcBorders>
            <w:shd w:val="clear" w:color="auto" w:fill="auto"/>
            <w:vAlign w:val="center"/>
          </w:tcPr>
          <w:p w14:paraId="0CEB074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2840" w:type="dxa"/>
            <w:gridSpan w:val="3"/>
            <w:tcBorders>
              <w:top w:val="single" w:color="000000" w:sz="4" w:space="0"/>
              <w:left w:val="single" w:color="000000" w:sz="4" w:space="0"/>
              <w:bottom w:val="nil"/>
              <w:right w:val="single" w:color="000000" w:sz="4" w:space="0"/>
            </w:tcBorders>
            <w:shd w:val="clear" w:color="auto" w:fill="auto"/>
            <w:vAlign w:val="center"/>
          </w:tcPr>
          <w:p w14:paraId="05DDA09B">
            <w:pPr>
              <w:jc w:val="center"/>
              <w:rPr>
                <w:rFonts w:hint="eastAsia" w:ascii="宋体" w:hAnsi="宋体" w:eastAsia="宋体" w:cs="宋体"/>
                <w:i w:val="0"/>
                <w:iCs w:val="0"/>
                <w:color w:val="000000"/>
                <w:sz w:val="18"/>
                <w:szCs w:val="18"/>
                <w:u w:val="none" w:color="auto"/>
              </w:rPr>
            </w:pPr>
          </w:p>
        </w:tc>
      </w:tr>
      <w:tr w14:paraId="00C2A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543"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5464BB66">
            <w:pPr>
              <w:jc w:val="center"/>
              <w:rPr>
                <w:rFonts w:hint="eastAsia" w:ascii="宋体" w:hAnsi="宋体" w:eastAsia="宋体" w:cs="宋体"/>
                <w:i w:val="0"/>
                <w:iCs w:val="0"/>
                <w:color w:val="000000"/>
                <w:sz w:val="18"/>
                <w:szCs w:val="18"/>
                <w:u w:val="none" w:color="auto"/>
              </w:rPr>
            </w:pPr>
          </w:p>
        </w:tc>
        <w:tc>
          <w:tcPr>
            <w:tcW w:w="592" w:type="dxa"/>
            <w:vMerge w:val="restart"/>
            <w:tcBorders>
              <w:top w:val="single" w:color="000000" w:sz="4" w:space="0"/>
              <w:left w:val="single" w:color="000000" w:sz="4" w:space="0"/>
              <w:bottom w:val="nil"/>
              <w:right w:val="single" w:color="000000" w:sz="4" w:space="0"/>
            </w:tcBorders>
            <w:shd w:val="clear" w:color="auto" w:fill="auto"/>
            <w:vAlign w:val="center"/>
          </w:tcPr>
          <w:p w14:paraId="3879CC9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满意度指标</w:t>
            </w:r>
          </w:p>
        </w:tc>
        <w:tc>
          <w:tcPr>
            <w:tcW w:w="821" w:type="dxa"/>
            <w:vMerge w:val="restart"/>
            <w:tcBorders>
              <w:top w:val="single" w:color="000000" w:sz="4" w:space="0"/>
              <w:left w:val="single" w:color="000000" w:sz="4" w:space="0"/>
              <w:bottom w:val="nil"/>
              <w:right w:val="single" w:color="000000" w:sz="4" w:space="0"/>
            </w:tcBorders>
            <w:shd w:val="clear" w:color="auto" w:fill="auto"/>
            <w:vAlign w:val="center"/>
          </w:tcPr>
          <w:p w14:paraId="1DAD7C2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服务对象满意度</w:t>
            </w:r>
          </w:p>
        </w:tc>
        <w:tc>
          <w:tcPr>
            <w:tcW w:w="1475" w:type="dxa"/>
            <w:gridSpan w:val="3"/>
            <w:tcBorders>
              <w:top w:val="single" w:color="000000" w:sz="4" w:space="0"/>
              <w:left w:val="single" w:color="000000" w:sz="4" w:space="0"/>
              <w:bottom w:val="nil"/>
              <w:right w:val="single" w:color="000000" w:sz="4" w:space="0"/>
            </w:tcBorders>
            <w:shd w:val="clear" w:color="auto" w:fill="auto"/>
            <w:vAlign w:val="center"/>
          </w:tcPr>
          <w:p w14:paraId="5D65BFB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主管部门满意度</w:t>
            </w:r>
          </w:p>
        </w:tc>
        <w:tc>
          <w:tcPr>
            <w:tcW w:w="543" w:type="dxa"/>
            <w:gridSpan w:val="2"/>
            <w:tcBorders>
              <w:top w:val="single" w:color="000000" w:sz="4" w:space="0"/>
              <w:left w:val="single" w:color="000000" w:sz="4" w:space="0"/>
              <w:bottom w:val="nil"/>
              <w:right w:val="single" w:color="000000" w:sz="4" w:space="0"/>
            </w:tcBorders>
            <w:shd w:val="clear" w:color="auto" w:fill="auto"/>
            <w:vAlign w:val="center"/>
          </w:tcPr>
          <w:p w14:paraId="415F148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543" w:type="dxa"/>
            <w:tcBorders>
              <w:top w:val="single" w:color="000000" w:sz="4" w:space="0"/>
              <w:left w:val="single" w:color="000000" w:sz="4" w:space="0"/>
              <w:bottom w:val="nil"/>
              <w:right w:val="single" w:color="000000" w:sz="4" w:space="0"/>
            </w:tcBorders>
            <w:shd w:val="clear" w:color="auto" w:fill="auto"/>
            <w:vAlign w:val="center"/>
          </w:tcPr>
          <w:p w14:paraId="5B5A5711">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大于等于</w:t>
            </w:r>
          </w:p>
        </w:tc>
        <w:tc>
          <w:tcPr>
            <w:tcW w:w="809" w:type="dxa"/>
            <w:gridSpan w:val="3"/>
            <w:tcBorders>
              <w:top w:val="single" w:color="000000" w:sz="4" w:space="0"/>
              <w:left w:val="single" w:color="000000" w:sz="4" w:space="0"/>
              <w:bottom w:val="nil"/>
              <w:right w:val="single" w:color="000000" w:sz="4" w:space="0"/>
            </w:tcBorders>
            <w:shd w:val="clear" w:color="auto" w:fill="auto"/>
            <w:vAlign w:val="center"/>
          </w:tcPr>
          <w:p w14:paraId="6CA5446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90</w:t>
            </w:r>
          </w:p>
        </w:tc>
        <w:tc>
          <w:tcPr>
            <w:tcW w:w="809" w:type="dxa"/>
            <w:gridSpan w:val="2"/>
            <w:tcBorders>
              <w:top w:val="single" w:color="000000" w:sz="4" w:space="0"/>
              <w:left w:val="single" w:color="000000" w:sz="4" w:space="0"/>
              <w:bottom w:val="nil"/>
              <w:right w:val="single" w:color="000000" w:sz="4" w:space="0"/>
            </w:tcBorders>
            <w:shd w:val="clear" w:color="auto" w:fill="auto"/>
            <w:vAlign w:val="center"/>
          </w:tcPr>
          <w:p w14:paraId="16BC320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90</w:t>
            </w:r>
          </w:p>
        </w:tc>
        <w:tc>
          <w:tcPr>
            <w:tcW w:w="703" w:type="dxa"/>
            <w:gridSpan w:val="2"/>
            <w:tcBorders>
              <w:top w:val="single" w:color="000000" w:sz="4" w:space="0"/>
              <w:left w:val="single" w:color="000000" w:sz="4" w:space="0"/>
              <w:bottom w:val="nil"/>
              <w:right w:val="single" w:color="000000" w:sz="4" w:space="0"/>
            </w:tcBorders>
            <w:shd w:val="clear" w:color="auto" w:fill="auto"/>
            <w:vAlign w:val="center"/>
          </w:tcPr>
          <w:p w14:paraId="07A3131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w:t>
            </w:r>
          </w:p>
        </w:tc>
        <w:tc>
          <w:tcPr>
            <w:tcW w:w="520" w:type="dxa"/>
            <w:gridSpan w:val="2"/>
            <w:tcBorders>
              <w:top w:val="single" w:color="000000" w:sz="4" w:space="0"/>
              <w:left w:val="single" w:color="000000" w:sz="4" w:space="0"/>
              <w:bottom w:val="nil"/>
              <w:right w:val="single" w:color="000000" w:sz="4" w:space="0"/>
            </w:tcBorders>
            <w:shd w:val="clear" w:color="auto" w:fill="auto"/>
            <w:vAlign w:val="center"/>
          </w:tcPr>
          <w:p w14:paraId="692C368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722" w:type="dxa"/>
            <w:gridSpan w:val="3"/>
            <w:tcBorders>
              <w:top w:val="single" w:color="000000" w:sz="4" w:space="0"/>
              <w:left w:val="single" w:color="000000" w:sz="4" w:space="0"/>
              <w:bottom w:val="nil"/>
              <w:right w:val="single" w:color="000000" w:sz="4" w:space="0"/>
            </w:tcBorders>
            <w:shd w:val="clear" w:color="auto" w:fill="auto"/>
            <w:vAlign w:val="center"/>
          </w:tcPr>
          <w:p w14:paraId="607094F6">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2840" w:type="dxa"/>
            <w:gridSpan w:val="3"/>
            <w:tcBorders>
              <w:top w:val="single" w:color="000000" w:sz="4" w:space="0"/>
              <w:left w:val="single" w:color="000000" w:sz="4" w:space="0"/>
              <w:bottom w:val="nil"/>
              <w:right w:val="single" w:color="000000" w:sz="4" w:space="0"/>
            </w:tcBorders>
            <w:shd w:val="clear" w:color="auto" w:fill="auto"/>
            <w:vAlign w:val="center"/>
          </w:tcPr>
          <w:p w14:paraId="36D73054">
            <w:pPr>
              <w:jc w:val="center"/>
              <w:rPr>
                <w:rFonts w:hint="eastAsia" w:ascii="宋体" w:hAnsi="宋体" w:eastAsia="宋体" w:cs="宋体"/>
                <w:i w:val="0"/>
                <w:iCs w:val="0"/>
                <w:color w:val="000000"/>
                <w:sz w:val="18"/>
                <w:szCs w:val="18"/>
                <w:u w:val="none" w:color="auto"/>
              </w:rPr>
            </w:pPr>
          </w:p>
        </w:tc>
      </w:tr>
      <w:tr w14:paraId="1879F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543"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65693BF0">
            <w:pPr>
              <w:jc w:val="center"/>
              <w:rPr>
                <w:rFonts w:hint="eastAsia" w:ascii="宋体" w:hAnsi="宋体" w:eastAsia="宋体" w:cs="宋体"/>
                <w:i w:val="0"/>
                <w:iCs w:val="0"/>
                <w:color w:val="000000"/>
                <w:sz w:val="18"/>
                <w:szCs w:val="18"/>
                <w:u w:val="none" w:color="auto"/>
              </w:rPr>
            </w:pPr>
          </w:p>
        </w:tc>
        <w:tc>
          <w:tcPr>
            <w:tcW w:w="592" w:type="dxa"/>
            <w:vMerge w:val="continue"/>
            <w:tcBorders>
              <w:top w:val="single" w:color="000000" w:sz="4" w:space="0"/>
              <w:left w:val="single" w:color="000000" w:sz="4" w:space="0"/>
              <w:bottom w:val="nil"/>
              <w:right w:val="single" w:color="000000" w:sz="4" w:space="0"/>
            </w:tcBorders>
            <w:shd w:val="clear" w:color="auto" w:fill="auto"/>
            <w:vAlign w:val="center"/>
          </w:tcPr>
          <w:p w14:paraId="4EBC9C46">
            <w:pPr>
              <w:jc w:val="center"/>
              <w:rPr>
                <w:rFonts w:hint="eastAsia" w:ascii="宋体" w:hAnsi="宋体" w:eastAsia="宋体" w:cs="宋体"/>
                <w:i w:val="0"/>
                <w:iCs w:val="0"/>
                <w:color w:val="000000"/>
                <w:sz w:val="18"/>
                <w:szCs w:val="18"/>
                <w:u w:val="none" w:color="auto"/>
              </w:rPr>
            </w:pPr>
          </w:p>
        </w:tc>
        <w:tc>
          <w:tcPr>
            <w:tcW w:w="821" w:type="dxa"/>
            <w:vMerge w:val="continue"/>
            <w:tcBorders>
              <w:top w:val="single" w:color="000000" w:sz="4" w:space="0"/>
              <w:left w:val="single" w:color="000000" w:sz="4" w:space="0"/>
              <w:bottom w:val="nil"/>
              <w:right w:val="single" w:color="000000" w:sz="4" w:space="0"/>
            </w:tcBorders>
            <w:shd w:val="clear" w:color="auto" w:fill="auto"/>
            <w:vAlign w:val="center"/>
          </w:tcPr>
          <w:p w14:paraId="1B507458">
            <w:pPr>
              <w:jc w:val="center"/>
              <w:rPr>
                <w:rFonts w:hint="eastAsia" w:ascii="宋体" w:hAnsi="宋体" w:eastAsia="宋体" w:cs="宋体"/>
                <w:i w:val="0"/>
                <w:iCs w:val="0"/>
                <w:color w:val="000000"/>
                <w:sz w:val="18"/>
                <w:szCs w:val="18"/>
                <w:u w:val="none" w:color="auto"/>
              </w:rPr>
            </w:pPr>
          </w:p>
        </w:tc>
        <w:tc>
          <w:tcPr>
            <w:tcW w:w="1475" w:type="dxa"/>
            <w:gridSpan w:val="3"/>
            <w:tcBorders>
              <w:top w:val="single" w:color="000000" w:sz="4" w:space="0"/>
              <w:left w:val="single" w:color="000000" w:sz="4" w:space="0"/>
              <w:bottom w:val="nil"/>
              <w:right w:val="single" w:color="000000" w:sz="4" w:space="0"/>
            </w:tcBorders>
            <w:shd w:val="clear" w:color="auto" w:fill="auto"/>
            <w:vAlign w:val="center"/>
          </w:tcPr>
          <w:p w14:paraId="6D4CA5A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服务人群满意度</w:t>
            </w:r>
          </w:p>
        </w:tc>
        <w:tc>
          <w:tcPr>
            <w:tcW w:w="543" w:type="dxa"/>
            <w:gridSpan w:val="2"/>
            <w:tcBorders>
              <w:top w:val="single" w:color="000000" w:sz="4" w:space="0"/>
              <w:left w:val="single" w:color="000000" w:sz="4" w:space="0"/>
              <w:bottom w:val="nil"/>
              <w:right w:val="single" w:color="000000" w:sz="4" w:space="0"/>
            </w:tcBorders>
            <w:shd w:val="clear" w:color="auto" w:fill="auto"/>
            <w:vAlign w:val="center"/>
          </w:tcPr>
          <w:p w14:paraId="2F062A41">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543" w:type="dxa"/>
            <w:tcBorders>
              <w:top w:val="single" w:color="000000" w:sz="4" w:space="0"/>
              <w:left w:val="single" w:color="000000" w:sz="4" w:space="0"/>
              <w:bottom w:val="nil"/>
              <w:right w:val="single" w:color="000000" w:sz="4" w:space="0"/>
            </w:tcBorders>
            <w:shd w:val="clear" w:color="auto" w:fill="auto"/>
            <w:vAlign w:val="center"/>
          </w:tcPr>
          <w:p w14:paraId="2CA9EB0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大于等于</w:t>
            </w:r>
          </w:p>
        </w:tc>
        <w:tc>
          <w:tcPr>
            <w:tcW w:w="809" w:type="dxa"/>
            <w:gridSpan w:val="3"/>
            <w:tcBorders>
              <w:top w:val="single" w:color="000000" w:sz="4" w:space="0"/>
              <w:left w:val="single" w:color="000000" w:sz="4" w:space="0"/>
              <w:bottom w:val="nil"/>
              <w:right w:val="single" w:color="000000" w:sz="4" w:space="0"/>
            </w:tcBorders>
            <w:shd w:val="clear" w:color="auto" w:fill="auto"/>
            <w:vAlign w:val="center"/>
          </w:tcPr>
          <w:p w14:paraId="7E65FE31">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90</w:t>
            </w:r>
          </w:p>
        </w:tc>
        <w:tc>
          <w:tcPr>
            <w:tcW w:w="809" w:type="dxa"/>
            <w:gridSpan w:val="2"/>
            <w:tcBorders>
              <w:top w:val="single" w:color="000000" w:sz="4" w:space="0"/>
              <w:left w:val="single" w:color="000000" w:sz="4" w:space="0"/>
              <w:bottom w:val="nil"/>
              <w:right w:val="single" w:color="000000" w:sz="4" w:space="0"/>
            </w:tcBorders>
            <w:shd w:val="clear" w:color="auto" w:fill="auto"/>
            <w:vAlign w:val="center"/>
          </w:tcPr>
          <w:p w14:paraId="5C25ACA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90</w:t>
            </w:r>
          </w:p>
        </w:tc>
        <w:tc>
          <w:tcPr>
            <w:tcW w:w="703" w:type="dxa"/>
            <w:gridSpan w:val="2"/>
            <w:tcBorders>
              <w:top w:val="single" w:color="000000" w:sz="4" w:space="0"/>
              <w:left w:val="single" w:color="000000" w:sz="4" w:space="0"/>
              <w:bottom w:val="nil"/>
              <w:right w:val="single" w:color="000000" w:sz="4" w:space="0"/>
            </w:tcBorders>
            <w:shd w:val="clear" w:color="auto" w:fill="auto"/>
            <w:vAlign w:val="center"/>
          </w:tcPr>
          <w:p w14:paraId="250223E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w:t>
            </w:r>
          </w:p>
        </w:tc>
        <w:tc>
          <w:tcPr>
            <w:tcW w:w="520" w:type="dxa"/>
            <w:gridSpan w:val="2"/>
            <w:tcBorders>
              <w:top w:val="single" w:color="000000" w:sz="4" w:space="0"/>
              <w:left w:val="single" w:color="000000" w:sz="4" w:space="0"/>
              <w:bottom w:val="nil"/>
              <w:right w:val="single" w:color="000000" w:sz="4" w:space="0"/>
            </w:tcBorders>
            <w:shd w:val="clear" w:color="auto" w:fill="auto"/>
            <w:vAlign w:val="center"/>
          </w:tcPr>
          <w:p w14:paraId="1FE2B311">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722" w:type="dxa"/>
            <w:gridSpan w:val="3"/>
            <w:tcBorders>
              <w:top w:val="single" w:color="000000" w:sz="4" w:space="0"/>
              <w:left w:val="single" w:color="000000" w:sz="4" w:space="0"/>
              <w:bottom w:val="nil"/>
              <w:right w:val="single" w:color="000000" w:sz="4" w:space="0"/>
            </w:tcBorders>
            <w:shd w:val="clear" w:color="auto" w:fill="auto"/>
            <w:vAlign w:val="center"/>
          </w:tcPr>
          <w:p w14:paraId="2A2BF10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2840" w:type="dxa"/>
            <w:gridSpan w:val="3"/>
            <w:tcBorders>
              <w:top w:val="single" w:color="000000" w:sz="4" w:space="0"/>
              <w:left w:val="single" w:color="000000" w:sz="4" w:space="0"/>
              <w:bottom w:val="nil"/>
              <w:right w:val="single" w:color="000000" w:sz="4" w:space="0"/>
            </w:tcBorders>
            <w:shd w:val="clear" w:color="auto" w:fill="auto"/>
            <w:vAlign w:val="center"/>
          </w:tcPr>
          <w:p w14:paraId="3B7498DC">
            <w:pPr>
              <w:jc w:val="center"/>
              <w:rPr>
                <w:rFonts w:hint="eastAsia" w:ascii="宋体" w:hAnsi="宋体" w:eastAsia="宋体" w:cs="宋体"/>
                <w:i w:val="0"/>
                <w:iCs w:val="0"/>
                <w:color w:val="000000"/>
                <w:sz w:val="18"/>
                <w:szCs w:val="18"/>
                <w:u w:val="none" w:color="auto"/>
              </w:rPr>
            </w:pPr>
          </w:p>
        </w:tc>
      </w:tr>
      <w:tr w14:paraId="10C19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0" w:hRule="atLeast"/>
        </w:trPr>
        <w:tc>
          <w:tcPr>
            <w:tcW w:w="6838"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3B7BF38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总分</w:t>
            </w:r>
          </w:p>
        </w:tc>
        <w:tc>
          <w:tcPr>
            <w:tcW w:w="5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EC5C11">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100</w:t>
            </w:r>
          </w:p>
        </w:tc>
        <w:tc>
          <w:tcPr>
            <w:tcW w:w="7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B8258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100.00</w:t>
            </w:r>
          </w:p>
        </w:tc>
        <w:tc>
          <w:tcPr>
            <w:tcW w:w="28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9A7F71">
            <w:pPr>
              <w:jc w:val="center"/>
              <w:rPr>
                <w:rFonts w:hint="eastAsia" w:ascii="宋体" w:hAnsi="宋体" w:eastAsia="宋体" w:cs="宋体"/>
                <w:i w:val="0"/>
                <w:iCs w:val="0"/>
                <w:color w:val="000000"/>
                <w:sz w:val="18"/>
                <w:szCs w:val="18"/>
                <w:u w:val="none" w:color="auto"/>
              </w:rPr>
            </w:pPr>
          </w:p>
        </w:tc>
      </w:tr>
      <w:tr w14:paraId="1392A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0" w:hRule="atLeast"/>
        </w:trPr>
        <w:tc>
          <w:tcPr>
            <w:tcW w:w="6838" w:type="dxa"/>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01770F9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color="auto"/>
                <w:lang w:val="en-US" w:eastAsia="zh-CN" w:bidi="ar"/>
              </w:rPr>
            </w:pPr>
          </w:p>
        </w:tc>
        <w:tc>
          <w:tcPr>
            <w:tcW w:w="5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BE865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color="auto"/>
                <w:lang w:val="en-US" w:eastAsia="zh-CN" w:bidi="ar"/>
              </w:rPr>
            </w:pPr>
          </w:p>
        </w:tc>
        <w:tc>
          <w:tcPr>
            <w:tcW w:w="7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F6811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color="auto"/>
                <w:lang w:val="en-US" w:eastAsia="zh-CN" w:bidi="ar"/>
              </w:rPr>
            </w:pPr>
          </w:p>
        </w:tc>
        <w:tc>
          <w:tcPr>
            <w:tcW w:w="28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4B74B3">
            <w:pPr>
              <w:jc w:val="center"/>
              <w:rPr>
                <w:rFonts w:hint="eastAsia" w:ascii="宋体" w:hAnsi="宋体" w:eastAsia="宋体" w:cs="宋体"/>
                <w:i w:val="0"/>
                <w:iCs w:val="0"/>
                <w:color w:val="000000"/>
                <w:sz w:val="18"/>
                <w:szCs w:val="18"/>
                <w:u w:val="none" w:color="auto"/>
              </w:rPr>
            </w:pPr>
          </w:p>
        </w:tc>
      </w:tr>
      <w:tr w14:paraId="7E3BA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15" w:type="dxa"/>
          <w:wAfter w:w="30" w:type="dxa"/>
          <w:trHeight w:val="960" w:hRule="atLeast"/>
        </w:trPr>
        <w:tc>
          <w:tcPr>
            <w:tcW w:w="10875" w:type="dxa"/>
            <w:gridSpan w:val="23"/>
            <w:tcBorders>
              <w:top w:val="single" w:color="000000" w:sz="4" w:space="0"/>
              <w:left w:val="single" w:color="000000" w:sz="4" w:space="0"/>
              <w:bottom w:val="single" w:color="000000" w:sz="4" w:space="0"/>
              <w:right w:val="single" w:color="000000" w:sz="4" w:space="0"/>
            </w:tcBorders>
            <w:shd w:val="clear" w:color="auto" w:fill="auto"/>
            <w:vAlign w:val="center"/>
          </w:tcPr>
          <w:p w14:paraId="499D0DBA">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color="auto"/>
              </w:rPr>
            </w:pPr>
            <w:r>
              <w:rPr>
                <w:rFonts w:hint="eastAsia" w:ascii="宋体" w:hAnsi="宋体" w:eastAsia="宋体" w:cs="宋体"/>
                <w:b/>
                <w:bCs/>
                <w:i w:val="0"/>
                <w:iCs w:val="0"/>
                <w:color w:val="000000"/>
                <w:kern w:val="0"/>
                <w:sz w:val="40"/>
                <w:szCs w:val="40"/>
                <w:u w:val="none" w:color="auto"/>
                <w:lang w:val="en-US" w:eastAsia="zh-CN" w:bidi="ar"/>
              </w:rPr>
              <w:t>项目支出绩效自评表</w:t>
            </w:r>
            <w:r>
              <w:rPr>
                <w:rFonts w:hint="eastAsia" w:ascii="宋体" w:hAnsi="宋体" w:eastAsia="宋体" w:cs="宋体"/>
                <w:b/>
                <w:bCs/>
                <w:i w:val="0"/>
                <w:iCs w:val="0"/>
                <w:color w:val="000000"/>
                <w:kern w:val="0"/>
                <w:sz w:val="40"/>
                <w:szCs w:val="40"/>
                <w:u w:val="none" w:color="auto"/>
                <w:lang w:val="en-US" w:eastAsia="zh-CN" w:bidi="ar"/>
              </w:rPr>
              <w:br w:type="textWrapping"/>
            </w:r>
            <w:r>
              <w:rPr>
                <w:rFonts w:hint="eastAsia" w:ascii="宋体" w:hAnsi="宋体" w:eastAsia="宋体" w:cs="宋体"/>
                <w:b/>
                <w:bCs/>
                <w:i w:val="0"/>
                <w:iCs w:val="0"/>
                <w:color w:val="000000"/>
                <w:kern w:val="0"/>
                <w:sz w:val="40"/>
                <w:szCs w:val="40"/>
                <w:u w:val="none" w:color="auto"/>
                <w:lang w:val="en-US" w:eastAsia="zh-CN" w:bidi="ar"/>
              </w:rPr>
              <w:t>(2025年度）</w:t>
            </w:r>
          </w:p>
        </w:tc>
      </w:tr>
      <w:tr w14:paraId="64073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15" w:type="dxa"/>
          <w:wAfter w:w="30" w:type="dxa"/>
          <w:trHeight w:val="380" w:hRule="atLeast"/>
        </w:trPr>
        <w:tc>
          <w:tcPr>
            <w:tcW w:w="301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B8A14E">
            <w:pPr>
              <w:keepNext w:val="0"/>
              <w:keepLines w:val="0"/>
              <w:widowControl/>
              <w:suppressLineNumbers w:val="0"/>
              <w:jc w:val="righ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项目名称</w:t>
            </w:r>
          </w:p>
        </w:tc>
        <w:tc>
          <w:tcPr>
            <w:tcW w:w="7857"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371AE8DA">
            <w:pPr>
              <w:keepNext w:val="0"/>
              <w:keepLines w:val="0"/>
              <w:widowControl/>
              <w:suppressLineNumbers w:val="0"/>
              <w:jc w:val="lef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卫生专业技术考试经费</w:t>
            </w:r>
          </w:p>
        </w:tc>
      </w:tr>
      <w:tr w14:paraId="300F1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15" w:type="dxa"/>
          <w:wAfter w:w="30" w:type="dxa"/>
          <w:trHeight w:val="380" w:hRule="atLeast"/>
        </w:trPr>
        <w:tc>
          <w:tcPr>
            <w:tcW w:w="301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328DA3">
            <w:pPr>
              <w:keepNext w:val="0"/>
              <w:keepLines w:val="0"/>
              <w:widowControl/>
              <w:suppressLineNumbers w:val="0"/>
              <w:jc w:val="righ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主管部门</w:t>
            </w:r>
          </w:p>
        </w:tc>
        <w:tc>
          <w:tcPr>
            <w:tcW w:w="244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1241F89">
            <w:pPr>
              <w:keepNext w:val="0"/>
              <w:keepLines w:val="0"/>
              <w:widowControl/>
              <w:suppressLineNumbers w:val="0"/>
              <w:jc w:val="lef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巴彦淖尔市卫生健康委员会（部门）</w:t>
            </w:r>
          </w:p>
        </w:tc>
        <w:tc>
          <w:tcPr>
            <w:tcW w:w="143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65A71DB">
            <w:pPr>
              <w:keepNext w:val="0"/>
              <w:keepLines w:val="0"/>
              <w:widowControl/>
              <w:suppressLineNumbers w:val="0"/>
              <w:jc w:val="righ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实施单位</w:t>
            </w:r>
          </w:p>
        </w:tc>
        <w:tc>
          <w:tcPr>
            <w:tcW w:w="39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49DB7EB">
            <w:pPr>
              <w:keepNext w:val="0"/>
              <w:keepLines w:val="0"/>
              <w:widowControl/>
              <w:suppressLineNumbers w:val="0"/>
              <w:jc w:val="lef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巴彦淖尔市卫生健康委员会</w:t>
            </w:r>
          </w:p>
        </w:tc>
      </w:tr>
      <w:tr w14:paraId="34341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15" w:type="dxa"/>
          <w:wAfter w:w="30" w:type="dxa"/>
          <w:trHeight w:val="380" w:hRule="atLeast"/>
        </w:trPr>
        <w:tc>
          <w:tcPr>
            <w:tcW w:w="3018"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AF830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项目资金</w:t>
            </w:r>
            <w:r>
              <w:rPr>
                <w:rFonts w:hint="eastAsia" w:ascii="宋体" w:hAnsi="宋体" w:eastAsia="宋体" w:cs="宋体"/>
                <w:i w:val="0"/>
                <w:iCs w:val="0"/>
                <w:color w:val="000000"/>
                <w:kern w:val="0"/>
                <w:sz w:val="18"/>
                <w:szCs w:val="18"/>
                <w:u w:val="none" w:color="auto"/>
                <w:lang w:val="en-US" w:eastAsia="zh-CN" w:bidi="ar"/>
              </w:rPr>
              <w:br w:type="textWrapping"/>
            </w:r>
            <w:r>
              <w:rPr>
                <w:rFonts w:hint="eastAsia" w:ascii="宋体" w:hAnsi="宋体" w:eastAsia="宋体" w:cs="宋体"/>
                <w:i w:val="0"/>
                <w:iCs w:val="0"/>
                <w:color w:val="000000"/>
                <w:kern w:val="0"/>
                <w:sz w:val="18"/>
                <w:szCs w:val="18"/>
                <w:u w:val="none" w:color="auto"/>
                <w:lang w:val="en-US" w:eastAsia="zh-CN" w:bidi="ar"/>
              </w:rPr>
              <w:t>（万元）</w:t>
            </w:r>
          </w:p>
        </w:tc>
        <w:tc>
          <w:tcPr>
            <w:tcW w:w="7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BA11FF">
            <w:pPr>
              <w:rPr>
                <w:rFonts w:hint="eastAsia" w:ascii="宋体" w:hAnsi="宋体" w:eastAsia="宋体" w:cs="宋体"/>
                <w:i w:val="0"/>
                <w:iCs w:val="0"/>
                <w:color w:val="000000"/>
                <w:sz w:val="18"/>
                <w:szCs w:val="18"/>
                <w:u w:val="none" w:color="auto"/>
              </w:rPr>
            </w:pPr>
          </w:p>
        </w:tc>
        <w:tc>
          <w:tcPr>
            <w:tcW w:w="7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5EE61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年初预算数</w:t>
            </w:r>
          </w:p>
        </w:tc>
        <w:tc>
          <w:tcPr>
            <w:tcW w:w="9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2A978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全年预算数</w:t>
            </w:r>
          </w:p>
        </w:tc>
        <w:tc>
          <w:tcPr>
            <w:tcW w:w="143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7103D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全年执行数</w:t>
            </w:r>
          </w:p>
        </w:tc>
        <w:tc>
          <w:tcPr>
            <w:tcW w:w="6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1E69B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分值</w:t>
            </w:r>
          </w:p>
        </w:tc>
        <w:tc>
          <w:tcPr>
            <w:tcW w:w="11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BAAA1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执行率（%）</w:t>
            </w:r>
          </w:p>
        </w:tc>
        <w:tc>
          <w:tcPr>
            <w:tcW w:w="2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1F85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得分</w:t>
            </w:r>
          </w:p>
        </w:tc>
      </w:tr>
      <w:tr w14:paraId="13725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15" w:type="dxa"/>
          <w:wAfter w:w="30" w:type="dxa"/>
          <w:trHeight w:val="380" w:hRule="atLeast"/>
        </w:trPr>
        <w:tc>
          <w:tcPr>
            <w:tcW w:w="3018"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E42EDA">
            <w:pPr>
              <w:jc w:val="center"/>
              <w:rPr>
                <w:rFonts w:hint="eastAsia" w:ascii="宋体" w:hAnsi="宋体" w:eastAsia="宋体" w:cs="宋体"/>
                <w:i w:val="0"/>
                <w:iCs w:val="0"/>
                <w:color w:val="000000"/>
                <w:sz w:val="18"/>
                <w:szCs w:val="18"/>
                <w:u w:val="none" w:color="auto"/>
              </w:rPr>
            </w:pPr>
          </w:p>
        </w:tc>
        <w:tc>
          <w:tcPr>
            <w:tcW w:w="7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A2A7D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年度资金总额</w:t>
            </w:r>
          </w:p>
        </w:tc>
        <w:tc>
          <w:tcPr>
            <w:tcW w:w="7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7EB4E5">
            <w:pPr>
              <w:keepNext w:val="0"/>
              <w:keepLines w:val="0"/>
              <w:widowControl/>
              <w:suppressLineNumbers w:val="0"/>
              <w:jc w:val="lef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60</w:t>
            </w:r>
          </w:p>
        </w:tc>
        <w:tc>
          <w:tcPr>
            <w:tcW w:w="9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9816E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40.75</w:t>
            </w:r>
          </w:p>
        </w:tc>
        <w:tc>
          <w:tcPr>
            <w:tcW w:w="143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490E90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39.44</w:t>
            </w:r>
          </w:p>
        </w:tc>
        <w:tc>
          <w:tcPr>
            <w:tcW w:w="6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8D61B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w:t>
            </w:r>
          </w:p>
        </w:tc>
        <w:tc>
          <w:tcPr>
            <w:tcW w:w="11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20F64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96.79</w:t>
            </w:r>
          </w:p>
        </w:tc>
        <w:tc>
          <w:tcPr>
            <w:tcW w:w="2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279C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9.68</w:t>
            </w:r>
          </w:p>
        </w:tc>
      </w:tr>
      <w:tr w14:paraId="502D9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15" w:type="dxa"/>
          <w:wAfter w:w="30" w:type="dxa"/>
          <w:trHeight w:val="380" w:hRule="atLeast"/>
        </w:trPr>
        <w:tc>
          <w:tcPr>
            <w:tcW w:w="3018"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85C47">
            <w:pPr>
              <w:jc w:val="center"/>
              <w:rPr>
                <w:rFonts w:hint="eastAsia" w:ascii="宋体" w:hAnsi="宋体" w:eastAsia="宋体" w:cs="宋体"/>
                <w:i w:val="0"/>
                <w:iCs w:val="0"/>
                <w:color w:val="000000"/>
                <w:sz w:val="18"/>
                <w:szCs w:val="18"/>
                <w:u w:val="none" w:color="auto"/>
              </w:rPr>
            </w:pPr>
          </w:p>
        </w:tc>
        <w:tc>
          <w:tcPr>
            <w:tcW w:w="7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3B6C2E">
            <w:pPr>
              <w:keepNext w:val="0"/>
              <w:keepLines w:val="0"/>
              <w:widowControl/>
              <w:suppressLineNumbers w:val="0"/>
              <w:jc w:val="lef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其中：财政拨款</w:t>
            </w:r>
          </w:p>
        </w:tc>
        <w:tc>
          <w:tcPr>
            <w:tcW w:w="7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FA654D">
            <w:pPr>
              <w:keepNext w:val="0"/>
              <w:keepLines w:val="0"/>
              <w:widowControl/>
              <w:suppressLineNumbers w:val="0"/>
              <w:jc w:val="lef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60</w:t>
            </w:r>
          </w:p>
        </w:tc>
        <w:tc>
          <w:tcPr>
            <w:tcW w:w="9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7DABBA">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40.75</w:t>
            </w:r>
          </w:p>
        </w:tc>
        <w:tc>
          <w:tcPr>
            <w:tcW w:w="143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C2601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39.44</w:t>
            </w:r>
          </w:p>
        </w:tc>
        <w:tc>
          <w:tcPr>
            <w:tcW w:w="6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F0D8E">
            <w:pPr>
              <w:keepNext w:val="0"/>
              <w:keepLines w:val="0"/>
              <w:widowControl/>
              <w:suppressLineNumbers w:val="0"/>
              <w:jc w:val="center"/>
              <w:textAlignment w:val="center"/>
              <w:rPr>
                <w:rFonts w:ascii="Arial" w:hAnsi="Arial" w:eastAsia="宋体" w:cs="Arial"/>
                <w:i w:val="0"/>
                <w:iCs w:val="0"/>
                <w:color w:val="222222"/>
                <w:sz w:val="19"/>
                <w:szCs w:val="19"/>
                <w:u w:val="none" w:color="auto"/>
              </w:rPr>
            </w:pPr>
            <w:r>
              <w:rPr>
                <w:rFonts w:hint="default" w:ascii="Arial" w:hAnsi="Arial" w:eastAsia="宋体" w:cs="Arial"/>
                <w:i w:val="0"/>
                <w:iCs w:val="0"/>
                <w:color w:val="222222"/>
                <w:kern w:val="0"/>
                <w:sz w:val="19"/>
                <w:szCs w:val="19"/>
                <w:u w:val="none" w:color="auto"/>
                <w:lang w:val="en-US" w:eastAsia="zh-CN" w:bidi="ar"/>
              </w:rPr>
              <w:t>——</w:t>
            </w:r>
          </w:p>
        </w:tc>
        <w:tc>
          <w:tcPr>
            <w:tcW w:w="11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F34D1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96.79</w:t>
            </w: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24AA6">
            <w:pPr>
              <w:keepNext w:val="0"/>
              <w:keepLines w:val="0"/>
              <w:widowControl/>
              <w:suppressLineNumbers w:val="0"/>
              <w:jc w:val="center"/>
              <w:textAlignment w:val="center"/>
              <w:rPr>
                <w:rFonts w:hint="default" w:ascii="Arial" w:hAnsi="Arial" w:eastAsia="宋体" w:cs="Arial"/>
                <w:i w:val="0"/>
                <w:iCs w:val="0"/>
                <w:color w:val="222222"/>
                <w:sz w:val="19"/>
                <w:szCs w:val="19"/>
                <w:u w:val="none" w:color="auto"/>
              </w:rPr>
            </w:pPr>
            <w:r>
              <w:rPr>
                <w:rFonts w:hint="default" w:ascii="Arial" w:hAnsi="Arial" w:eastAsia="宋体" w:cs="Arial"/>
                <w:i w:val="0"/>
                <w:iCs w:val="0"/>
                <w:color w:val="222222"/>
                <w:kern w:val="0"/>
                <w:sz w:val="19"/>
                <w:szCs w:val="19"/>
                <w:u w:val="none" w:color="auto"/>
                <w:lang w:val="en-US" w:eastAsia="zh-CN" w:bidi="ar"/>
              </w:rPr>
              <w:t>——</w:t>
            </w:r>
          </w:p>
        </w:tc>
      </w:tr>
      <w:tr w14:paraId="78CA6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15" w:type="dxa"/>
          <w:wAfter w:w="30" w:type="dxa"/>
          <w:trHeight w:val="380" w:hRule="atLeast"/>
        </w:trPr>
        <w:tc>
          <w:tcPr>
            <w:tcW w:w="3018"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FC7384">
            <w:pPr>
              <w:jc w:val="center"/>
              <w:rPr>
                <w:rFonts w:hint="eastAsia" w:ascii="宋体" w:hAnsi="宋体" w:eastAsia="宋体" w:cs="宋体"/>
                <w:i w:val="0"/>
                <w:iCs w:val="0"/>
                <w:color w:val="000000"/>
                <w:sz w:val="18"/>
                <w:szCs w:val="18"/>
                <w:u w:val="none" w:color="auto"/>
              </w:rPr>
            </w:pPr>
          </w:p>
        </w:tc>
        <w:tc>
          <w:tcPr>
            <w:tcW w:w="7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B64E4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上年结转资金</w:t>
            </w:r>
          </w:p>
        </w:tc>
        <w:tc>
          <w:tcPr>
            <w:tcW w:w="7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4EF647">
            <w:pPr>
              <w:rPr>
                <w:rFonts w:hint="eastAsia" w:ascii="宋体" w:hAnsi="宋体" w:eastAsia="宋体" w:cs="宋体"/>
                <w:i w:val="0"/>
                <w:iCs w:val="0"/>
                <w:color w:val="000000"/>
                <w:sz w:val="18"/>
                <w:szCs w:val="18"/>
                <w:u w:val="none" w:color="auto"/>
              </w:rPr>
            </w:pPr>
          </w:p>
        </w:tc>
        <w:tc>
          <w:tcPr>
            <w:tcW w:w="9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F17A12">
            <w:pPr>
              <w:jc w:val="center"/>
              <w:rPr>
                <w:rFonts w:hint="eastAsia" w:ascii="宋体" w:hAnsi="宋体" w:eastAsia="宋体" w:cs="宋体"/>
                <w:i w:val="0"/>
                <w:iCs w:val="0"/>
                <w:color w:val="000000"/>
                <w:sz w:val="18"/>
                <w:szCs w:val="18"/>
                <w:u w:val="none" w:color="auto"/>
              </w:rPr>
            </w:pPr>
          </w:p>
        </w:tc>
        <w:tc>
          <w:tcPr>
            <w:tcW w:w="143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B12F6B">
            <w:pPr>
              <w:jc w:val="center"/>
              <w:rPr>
                <w:rFonts w:hint="eastAsia" w:ascii="宋体" w:hAnsi="宋体" w:eastAsia="宋体" w:cs="宋体"/>
                <w:i w:val="0"/>
                <w:iCs w:val="0"/>
                <w:color w:val="000000"/>
                <w:sz w:val="18"/>
                <w:szCs w:val="18"/>
                <w:u w:val="none" w:color="auto"/>
              </w:rPr>
            </w:pPr>
          </w:p>
        </w:tc>
        <w:tc>
          <w:tcPr>
            <w:tcW w:w="6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597F4">
            <w:pPr>
              <w:keepNext w:val="0"/>
              <w:keepLines w:val="0"/>
              <w:widowControl/>
              <w:suppressLineNumbers w:val="0"/>
              <w:jc w:val="center"/>
              <w:textAlignment w:val="center"/>
              <w:rPr>
                <w:rFonts w:hint="default" w:ascii="Arial" w:hAnsi="Arial" w:eastAsia="宋体" w:cs="Arial"/>
                <w:i w:val="0"/>
                <w:iCs w:val="0"/>
                <w:color w:val="222222"/>
                <w:sz w:val="19"/>
                <w:szCs w:val="19"/>
                <w:u w:val="none" w:color="auto"/>
              </w:rPr>
            </w:pPr>
            <w:r>
              <w:rPr>
                <w:rFonts w:hint="default" w:ascii="Arial" w:hAnsi="Arial" w:eastAsia="宋体" w:cs="Arial"/>
                <w:i w:val="0"/>
                <w:iCs w:val="0"/>
                <w:color w:val="222222"/>
                <w:kern w:val="0"/>
                <w:sz w:val="19"/>
                <w:szCs w:val="19"/>
                <w:u w:val="none" w:color="auto"/>
                <w:lang w:val="en-US" w:eastAsia="zh-CN" w:bidi="ar"/>
              </w:rPr>
              <w:t>——</w:t>
            </w:r>
          </w:p>
        </w:tc>
        <w:tc>
          <w:tcPr>
            <w:tcW w:w="11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3FD051">
            <w:pPr>
              <w:jc w:val="center"/>
              <w:rPr>
                <w:rFonts w:hint="eastAsia" w:ascii="宋体" w:hAnsi="宋体" w:eastAsia="宋体" w:cs="宋体"/>
                <w:i w:val="0"/>
                <w:iCs w:val="0"/>
                <w:color w:val="000000"/>
                <w:sz w:val="18"/>
                <w:szCs w:val="18"/>
                <w:u w:val="none" w:color="auto"/>
              </w:rPr>
            </w:pP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EB35B">
            <w:pPr>
              <w:keepNext w:val="0"/>
              <w:keepLines w:val="0"/>
              <w:widowControl/>
              <w:suppressLineNumbers w:val="0"/>
              <w:jc w:val="center"/>
              <w:textAlignment w:val="center"/>
              <w:rPr>
                <w:rFonts w:hint="default" w:ascii="Arial" w:hAnsi="Arial" w:eastAsia="宋体" w:cs="Arial"/>
                <w:i w:val="0"/>
                <w:iCs w:val="0"/>
                <w:color w:val="222222"/>
                <w:sz w:val="19"/>
                <w:szCs w:val="19"/>
                <w:u w:val="none" w:color="auto"/>
              </w:rPr>
            </w:pPr>
            <w:r>
              <w:rPr>
                <w:rFonts w:hint="default" w:ascii="Arial" w:hAnsi="Arial" w:eastAsia="宋体" w:cs="Arial"/>
                <w:i w:val="0"/>
                <w:iCs w:val="0"/>
                <w:color w:val="222222"/>
                <w:kern w:val="0"/>
                <w:sz w:val="19"/>
                <w:szCs w:val="19"/>
                <w:u w:val="none" w:color="auto"/>
                <w:lang w:val="en-US" w:eastAsia="zh-CN" w:bidi="ar"/>
              </w:rPr>
              <w:t>——</w:t>
            </w:r>
          </w:p>
        </w:tc>
      </w:tr>
      <w:tr w14:paraId="513A1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15" w:type="dxa"/>
          <w:wAfter w:w="30" w:type="dxa"/>
          <w:trHeight w:val="380" w:hRule="atLeast"/>
        </w:trPr>
        <w:tc>
          <w:tcPr>
            <w:tcW w:w="3018"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763383">
            <w:pPr>
              <w:jc w:val="center"/>
              <w:rPr>
                <w:rFonts w:hint="eastAsia" w:ascii="宋体" w:hAnsi="宋体" w:eastAsia="宋体" w:cs="宋体"/>
                <w:i w:val="0"/>
                <w:iCs w:val="0"/>
                <w:color w:val="000000"/>
                <w:sz w:val="18"/>
                <w:szCs w:val="18"/>
                <w:u w:val="none" w:color="auto"/>
              </w:rPr>
            </w:pPr>
          </w:p>
        </w:tc>
        <w:tc>
          <w:tcPr>
            <w:tcW w:w="7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9F61F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其他资金</w:t>
            </w:r>
          </w:p>
        </w:tc>
        <w:tc>
          <w:tcPr>
            <w:tcW w:w="7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94811C">
            <w:pPr>
              <w:keepNext w:val="0"/>
              <w:keepLines w:val="0"/>
              <w:widowControl/>
              <w:suppressLineNumbers w:val="0"/>
              <w:jc w:val="lef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0</w:t>
            </w:r>
          </w:p>
        </w:tc>
        <w:tc>
          <w:tcPr>
            <w:tcW w:w="9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B203B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0</w:t>
            </w:r>
          </w:p>
        </w:tc>
        <w:tc>
          <w:tcPr>
            <w:tcW w:w="143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D41BE6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0</w:t>
            </w:r>
          </w:p>
        </w:tc>
        <w:tc>
          <w:tcPr>
            <w:tcW w:w="6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8CEBF">
            <w:pPr>
              <w:keepNext w:val="0"/>
              <w:keepLines w:val="0"/>
              <w:widowControl/>
              <w:suppressLineNumbers w:val="0"/>
              <w:jc w:val="center"/>
              <w:textAlignment w:val="center"/>
              <w:rPr>
                <w:rFonts w:hint="default" w:ascii="Arial" w:hAnsi="Arial" w:eastAsia="宋体" w:cs="Arial"/>
                <w:i w:val="0"/>
                <w:iCs w:val="0"/>
                <w:color w:val="222222"/>
                <w:sz w:val="19"/>
                <w:szCs w:val="19"/>
                <w:u w:val="none" w:color="auto"/>
              </w:rPr>
            </w:pPr>
            <w:r>
              <w:rPr>
                <w:rFonts w:hint="default" w:ascii="Arial" w:hAnsi="Arial" w:eastAsia="宋体" w:cs="Arial"/>
                <w:i w:val="0"/>
                <w:iCs w:val="0"/>
                <w:color w:val="222222"/>
                <w:kern w:val="0"/>
                <w:sz w:val="19"/>
                <w:szCs w:val="19"/>
                <w:u w:val="none" w:color="auto"/>
                <w:lang w:val="en-US" w:eastAsia="zh-CN" w:bidi="ar"/>
              </w:rPr>
              <w:t>——</w:t>
            </w:r>
          </w:p>
        </w:tc>
        <w:tc>
          <w:tcPr>
            <w:tcW w:w="11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A98FD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0</w:t>
            </w:r>
          </w:p>
        </w:tc>
        <w:tc>
          <w:tcPr>
            <w:tcW w:w="2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F6EDB">
            <w:pPr>
              <w:keepNext w:val="0"/>
              <w:keepLines w:val="0"/>
              <w:widowControl/>
              <w:suppressLineNumbers w:val="0"/>
              <w:jc w:val="center"/>
              <w:textAlignment w:val="center"/>
              <w:rPr>
                <w:rFonts w:hint="default" w:ascii="Arial" w:hAnsi="Arial" w:eastAsia="宋体" w:cs="Arial"/>
                <w:i w:val="0"/>
                <w:iCs w:val="0"/>
                <w:color w:val="222222"/>
                <w:sz w:val="19"/>
                <w:szCs w:val="19"/>
                <w:u w:val="none" w:color="auto"/>
              </w:rPr>
            </w:pPr>
            <w:r>
              <w:rPr>
                <w:rFonts w:hint="default" w:ascii="Arial" w:hAnsi="Arial" w:eastAsia="宋体" w:cs="Arial"/>
                <w:i w:val="0"/>
                <w:iCs w:val="0"/>
                <w:color w:val="222222"/>
                <w:kern w:val="0"/>
                <w:sz w:val="19"/>
                <w:szCs w:val="19"/>
                <w:u w:val="none" w:color="auto"/>
                <w:lang w:val="en-US" w:eastAsia="zh-CN" w:bidi="ar"/>
              </w:rPr>
              <w:t>——</w:t>
            </w:r>
          </w:p>
        </w:tc>
      </w:tr>
      <w:tr w14:paraId="2E010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15" w:type="dxa"/>
          <w:wAfter w:w="30" w:type="dxa"/>
          <w:trHeight w:val="380" w:hRule="atLeast"/>
        </w:trPr>
        <w:tc>
          <w:tcPr>
            <w:tcW w:w="3018"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AC1BC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年度总体目标</w:t>
            </w:r>
          </w:p>
        </w:tc>
        <w:tc>
          <w:tcPr>
            <w:tcW w:w="314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724940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预期目标</w:t>
            </w:r>
          </w:p>
        </w:tc>
        <w:tc>
          <w:tcPr>
            <w:tcW w:w="4714"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6D3B82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实际完成情况</w:t>
            </w:r>
          </w:p>
        </w:tc>
      </w:tr>
      <w:tr w14:paraId="09B7D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15" w:type="dxa"/>
          <w:wAfter w:w="30" w:type="dxa"/>
          <w:trHeight w:val="1120" w:hRule="atLeast"/>
        </w:trPr>
        <w:tc>
          <w:tcPr>
            <w:tcW w:w="3018"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3EAEF">
            <w:pPr>
              <w:jc w:val="center"/>
              <w:rPr>
                <w:rFonts w:hint="eastAsia" w:ascii="宋体" w:hAnsi="宋体" w:eastAsia="宋体" w:cs="宋体"/>
                <w:i w:val="0"/>
                <w:iCs w:val="0"/>
                <w:color w:val="000000"/>
                <w:sz w:val="18"/>
                <w:szCs w:val="18"/>
                <w:u w:val="none" w:color="auto"/>
              </w:rPr>
            </w:pPr>
          </w:p>
        </w:tc>
        <w:tc>
          <w:tcPr>
            <w:tcW w:w="314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120797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目标1：组织完成2023年执业医师考试工作任务，提高服务工作水平</w:t>
            </w:r>
            <w:r>
              <w:rPr>
                <w:rFonts w:hint="eastAsia" w:ascii="宋体" w:hAnsi="宋体" w:eastAsia="宋体" w:cs="宋体"/>
                <w:i w:val="0"/>
                <w:iCs w:val="0"/>
                <w:color w:val="000000"/>
                <w:kern w:val="0"/>
                <w:sz w:val="18"/>
                <w:szCs w:val="18"/>
                <w:u w:val="none" w:color="auto"/>
                <w:lang w:val="en-US" w:eastAsia="zh-CN" w:bidi="ar"/>
              </w:rPr>
              <w:br w:type="textWrapping"/>
            </w:r>
            <w:r>
              <w:rPr>
                <w:rFonts w:hint="eastAsia" w:ascii="宋体" w:hAnsi="宋体" w:eastAsia="宋体" w:cs="宋体"/>
                <w:i w:val="0"/>
                <w:iCs w:val="0"/>
                <w:color w:val="000000"/>
                <w:kern w:val="0"/>
                <w:sz w:val="18"/>
                <w:szCs w:val="18"/>
                <w:u w:val="none" w:color="auto"/>
                <w:lang w:val="en-US" w:eastAsia="zh-CN" w:bidi="ar"/>
              </w:rPr>
              <w:t>目标2：组织完成2023年卫生专业技术资格考试工作任务，提高服务工作水平。</w:t>
            </w:r>
          </w:p>
        </w:tc>
        <w:tc>
          <w:tcPr>
            <w:tcW w:w="4714"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53152B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 xml:space="preserve">  目标1：组织完成2023年执业医师考试工作任务，提高服务工作水平 目标2：组织完成2023年卫生专业技术资格考试工作任务，提高服务工作水平。</w:t>
            </w:r>
          </w:p>
        </w:tc>
      </w:tr>
      <w:tr w14:paraId="24620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15" w:type="dxa"/>
          <w:wAfter w:w="30" w:type="dxa"/>
          <w:trHeight w:val="380" w:hRule="atLeast"/>
        </w:trPr>
        <w:tc>
          <w:tcPr>
            <w:tcW w:w="19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FEDBEA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绩效指标</w:t>
            </w:r>
          </w:p>
        </w:tc>
        <w:tc>
          <w:tcPr>
            <w:tcW w:w="1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C361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一级指标</w:t>
            </w:r>
          </w:p>
        </w:tc>
        <w:tc>
          <w:tcPr>
            <w:tcW w:w="7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1C010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二级指标</w:t>
            </w:r>
          </w:p>
        </w:tc>
        <w:tc>
          <w:tcPr>
            <w:tcW w:w="7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4115A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三级指标</w:t>
            </w:r>
          </w:p>
        </w:tc>
        <w:tc>
          <w:tcPr>
            <w:tcW w:w="4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1B01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指标性质</w:t>
            </w:r>
          </w:p>
        </w:tc>
        <w:tc>
          <w:tcPr>
            <w:tcW w:w="4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368E01">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指标方向</w:t>
            </w:r>
          </w:p>
        </w:tc>
        <w:tc>
          <w:tcPr>
            <w:tcW w:w="7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9D03B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年度指标值</w:t>
            </w:r>
          </w:p>
        </w:tc>
        <w:tc>
          <w:tcPr>
            <w:tcW w:w="7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75858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实际完成值</w:t>
            </w:r>
          </w:p>
        </w:tc>
        <w:tc>
          <w:tcPr>
            <w:tcW w:w="6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5CF1A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计量单位</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376F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分值</w:t>
            </w:r>
          </w:p>
        </w:tc>
        <w:tc>
          <w:tcPr>
            <w:tcW w:w="6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744D9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得分</w:t>
            </w:r>
          </w:p>
        </w:tc>
        <w:tc>
          <w:tcPr>
            <w:tcW w:w="2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56F20">
            <w:pPr>
              <w:keepNext w:val="0"/>
              <w:keepLines w:val="0"/>
              <w:widowControl/>
              <w:suppressLineNumbers w:val="0"/>
              <w:jc w:val="lef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偏差原因分析及改进措施</w:t>
            </w:r>
          </w:p>
        </w:tc>
      </w:tr>
      <w:tr w14:paraId="742DD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15" w:type="dxa"/>
          <w:wAfter w:w="30" w:type="dxa"/>
          <w:trHeight w:val="840" w:hRule="atLeast"/>
        </w:trPr>
        <w:tc>
          <w:tcPr>
            <w:tcW w:w="1948" w:type="dxa"/>
            <w:gridSpan w:val="4"/>
            <w:vMerge w:val="restart"/>
            <w:tcBorders>
              <w:top w:val="single" w:color="000000" w:sz="4" w:space="0"/>
              <w:left w:val="single" w:color="000000" w:sz="4" w:space="0"/>
              <w:bottom w:val="nil"/>
              <w:right w:val="single" w:color="000000" w:sz="4" w:space="0"/>
            </w:tcBorders>
            <w:shd w:val="clear" w:color="auto" w:fill="auto"/>
            <w:vAlign w:val="center"/>
          </w:tcPr>
          <w:p w14:paraId="53F3B2E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绩效指标</w:t>
            </w:r>
          </w:p>
        </w:tc>
        <w:tc>
          <w:tcPr>
            <w:tcW w:w="1070" w:type="dxa"/>
            <w:vMerge w:val="restart"/>
            <w:tcBorders>
              <w:top w:val="single" w:color="000000" w:sz="4" w:space="0"/>
              <w:left w:val="single" w:color="000000" w:sz="4" w:space="0"/>
              <w:bottom w:val="nil"/>
              <w:right w:val="single" w:color="000000" w:sz="4" w:space="0"/>
            </w:tcBorders>
            <w:shd w:val="clear" w:color="auto" w:fill="auto"/>
            <w:vAlign w:val="center"/>
          </w:tcPr>
          <w:p w14:paraId="6EB82E0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产出指标</w:t>
            </w:r>
          </w:p>
        </w:tc>
        <w:tc>
          <w:tcPr>
            <w:tcW w:w="707"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735E8F8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数量指标</w:t>
            </w:r>
          </w:p>
        </w:tc>
        <w:tc>
          <w:tcPr>
            <w:tcW w:w="788" w:type="dxa"/>
            <w:gridSpan w:val="3"/>
            <w:tcBorders>
              <w:top w:val="single" w:color="000000" w:sz="4" w:space="0"/>
              <w:left w:val="single" w:color="000000" w:sz="4" w:space="0"/>
              <w:bottom w:val="nil"/>
              <w:right w:val="single" w:color="000000" w:sz="4" w:space="0"/>
            </w:tcBorders>
            <w:shd w:val="clear" w:color="auto" w:fill="auto"/>
            <w:vAlign w:val="center"/>
          </w:tcPr>
          <w:p w14:paraId="5FF2305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医师资格考试次数</w:t>
            </w:r>
          </w:p>
        </w:tc>
        <w:tc>
          <w:tcPr>
            <w:tcW w:w="474" w:type="dxa"/>
            <w:tcBorders>
              <w:top w:val="single" w:color="000000" w:sz="4" w:space="0"/>
              <w:left w:val="single" w:color="000000" w:sz="4" w:space="0"/>
              <w:bottom w:val="nil"/>
              <w:right w:val="single" w:color="000000" w:sz="4" w:space="0"/>
            </w:tcBorders>
            <w:shd w:val="clear" w:color="auto" w:fill="auto"/>
            <w:vAlign w:val="center"/>
          </w:tcPr>
          <w:p w14:paraId="539AA59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474" w:type="dxa"/>
            <w:gridSpan w:val="2"/>
            <w:tcBorders>
              <w:top w:val="single" w:color="000000" w:sz="4" w:space="0"/>
              <w:left w:val="single" w:color="000000" w:sz="4" w:space="0"/>
              <w:bottom w:val="nil"/>
              <w:right w:val="single" w:color="000000" w:sz="4" w:space="0"/>
            </w:tcBorders>
            <w:shd w:val="clear" w:color="auto" w:fill="auto"/>
            <w:vAlign w:val="center"/>
          </w:tcPr>
          <w:p w14:paraId="0D55050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等于</w:t>
            </w:r>
          </w:p>
        </w:tc>
        <w:tc>
          <w:tcPr>
            <w:tcW w:w="700" w:type="dxa"/>
            <w:gridSpan w:val="2"/>
            <w:tcBorders>
              <w:top w:val="single" w:color="000000" w:sz="4" w:space="0"/>
              <w:left w:val="single" w:color="000000" w:sz="4" w:space="0"/>
              <w:bottom w:val="nil"/>
              <w:right w:val="single" w:color="000000" w:sz="4" w:space="0"/>
            </w:tcBorders>
            <w:shd w:val="clear" w:color="auto" w:fill="auto"/>
            <w:vAlign w:val="center"/>
          </w:tcPr>
          <w:p w14:paraId="25FE1321">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3</w:t>
            </w:r>
          </w:p>
        </w:tc>
        <w:tc>
          <w:tcPr>
            <w:tcW w:w="739" w:type="dxa"/>
            <w:gridSpan w:val="2"/>
            <w:tcBorders>
              <w:top w:val="single" w:color="000000" w:sz="4" w:space="0"/>
              <w:left w:val="single" w:color="000000" w:sz="4" w:space="0"/>
              <w:bottom w:val="nil"/>
              <w:right w:val="single" w:color="000000" w:sz="4" w:space="0"/>
            </w:tcBorders>
            <w:shd w:val="clear" w:color="auto" w:fill="auto"/>
            <w:vAlign w:val="center"/>
          </w:tcPr>
          <w:p w14:paraId="291CA8D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3</w:t>
            </w:r>
          </w:p>
        </w:tc>
        <w:tc>
          <w:tcPr>
            <w:tcW w:w="645" w:type="dxa"/>
            <w:gridSpan w:val="2"/>
            <w:tcBorders>
              <w:top w:val="single" w:color="000000" w:sz="4" w:space="0"/>
              <w:left w:val="single" w:color="000000" w:sz="4" w:space="0"/>
              <w:bottom w:val="nil"/>
              <w:right w:val="single" w:color="000000" w:sz="4" w:space="0"/>
            </w:tcBorders>
            <w:shd w:val="clear" w:color="auto" w:fill="auto"/>
            <w:vAlign w:val="center"/>
          </w:tcPr>
          <w:p w14:paraId="2B846E5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次</w:t>
            </w:r>
          </w:p>
        </w:tc>
        <w:tc>
          <w:tcPr>
            <w:tcW w:w="504" w:type="dxa"/>
            <w:tcBorders>
              <w:top w:val="single" w:color="000000" w:sz="4" w:space="0"/>
              <w:left w:val="single" w:color="000000" w:sz="4" w:space="0"/>
              <w:bottom w:val="nil"/>
              <w:right w:val="single" w:color="000000" w:sz="4" w:space="0"/>
            </w:tcBorders>
            <w:shd w:val="clear" w:color="auto" w:fill="auto"/>
            <w:vAlign w:val="center"/>
          </w:tcPr>
          <w:p w14:paraId="6A73A5A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1.5</w:t>
            </w:r>
          </w:p>
        </w:tc>
        <w:tc>
          <w:tcPr>
            <w:tcW w:w="626" w:type="dxa"/>
            <w:gridSpan w:val="2"/>
            <w:tcBorders>
              <w:top w:val="single" w:color="000000" w:sz="4" w:space="0"/>
              <w:left w:val="single" w:color="000000" w:sz="4" w:space="0"/>
              <w:bottom w:val="nil"/>
              <w:right w:val="single" w:color="000000" w:sz="4" w:space="0"/>
            </w:tcBorders>
            <w:shd w:val="clear" w:color="auto" w:fill="auto"/>
            <w:vAlign w:val="center"/>
          </w:tcPr>
          <w:p w14:paraId="037CA9C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1.5</w:t>
            </w:r>
          </w:p>
        </w:tc>
        <w:tc>
          <w:tcPr>
            <w:tcW w:w="2200" w:type="dxa"/>
            <w:tcBorders>
              <w:top w:val="single" w:color="000000" w:sz="4" w:space="0"/>
              <w:left w:val="single" w:color="000000" w:sz="4" w:space="0"/>
              <w:bottom w:val="nil"/>
              <w:right w:val="single" w:color="000000" w:sz="4" w:space="0"/>
            </w:tcBorders>
            <w:shd w:val="clear" w:color="auto" w:fill="auto"/>
            <w:vAlign w:val="center"/>
          </w:tcPr>
          <w:p w14:paraId="2C54AEB6">
            <w:pPr>
              <w:jc w:val="center"/>
              <w:rPr>
                <w:rFonts w:hint="eastAsia" w:ascii="宋体" w:hAnsi="宋体" w:eastAsia="宋体" w:cs="宋体"/>
                <w:i w:val="0"/>
                <w:iCs w:val="0"/>
                <w:color w:val="000000"/>
                <w:sz w:val="18"/>
                <w:szCs w:val="18"/>
                <w:u w:val="none" w:color="auto"/>
              </w:rPr>
            </w:pPr>
          </w:p>
        </w:tc>
      </w:tr>
      <w:tr w14:paraId="0796B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15" w:type="dxa"/>
          <w:wAfter w:w="30" w:type="dxa"/>
          <w:trHeight w:val="840" w:hRule="atLeast"/>
        </w:trPr>
        <w:tc>
          <w:tcPr>
            <w:tcW w:w="1948" w:type="dxa"/>
            <w:gridSpan w:val="4"/>
            <w:vMerge w:val="continue"/>
            <w:tcBorders>
              <w:top w:val="single" w:color="000000" w:sz="4" w:space="0"/>
              <w:left w:val="single" w:color="000000" w:sz="4" w:space="0"/>
              <w:bottom w:val="nil"/>
              <w:right w:val="single" w:color="000000" w:sz="4" w:space="0"/>
            </w:tcBorders>
            <w:shd w:val="clear" w:color="auto" w:fill="auto"/>
            <w:vAlign w:val="center"/>
          </w:tcPr>
          <w:p w14:paraId="64363C33">
            <w:pPr>
              <w:jc w:val="center"/>
              <w:rPr>
                <w:rFonts w:hint="eastAsia" w:ascii="宋体" w:hAnsi="宋体" w:eastAsia="宋体" w:cs="宋体"/>
                <w:i w:val="0"/>
                <w:iCs w:val="0"/>
                <w:color w:val="000000"/>
                <w:sz w:val="18"/>
                <w:szCs w:val="18"/>
                <w:u w:val="none" w:color="auto"/>
              </w:rPr>
            </w:pPr>
          </w:p>
        </w:tc>
        <w:tc>
          <w:tcPr>
            <w:tcW w:w="1070" w:type="dxa"/>
            <w:vMerge w:val="continue"/>
            <w:tcBorders>
              <w:top w:val="single" w:color="000000" w:sz="4" w:space="0"/>
              <w:left w:val="single" w:color="000000" w:sz="4" w:space="0"/>
              <w:bottom w:val="nil"/>
              <w:right w:val="single" w:color="000000" w:sz="4" w:space="0"/>
            </w:tcBorders>
            <w:shd w:val="clear" w:color="auto" w:fill="auto"/>
            <w:vAlign w:val="center"/>
          </w:tcPr>
          <w:p w14:paraId="23F4068D">
            <w:pPr>
              <w:jc w:val="center"/>
              <w:rPr>
                <w:rFonts w:hint="eastAsia" w:ascii="宋体" w:hAnsi="宋体" w:eastAsia="宋体" w:cs="宋体"/>
                <w:i w:val="0"/>
                <w:iCs w:val="0"/>
                <w:color w:val="000000"/>
                <w:sz w:val="18"/>
                <w:szCs w:val="18"/>
                <w:u w:val="none" w:color="auto"/>
              </w:rPr>
            </w:pPr>
          </w:p>
        </w:tc>
        <w:tc>
          <w:tcPr>
            <w:tcW w:w="707"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7FE83993">
            <w:pPr>
              <w:jc w:val="center"/>
              <w:rPr>
                <w:rFonts w:hint="eastAsia" w:ascii="宋体" w:hAnsi="宋体" w:eastAsia="宋体" w:cs="宋体"/>
                <w:i w:val="0"/>
                <w:iCs w:val="0"/>
                <w:color w:val="000000"/>
                <w:sz w:val="18"/>
                <w:szCs w:val="18"/>
                <w:u w:val="none" w:color="auto"/>
              </w:rPr>
            </w:pPr>
          </w:p>
        </w:tc>
        <w:tc>
          <w:tcPr>
            <w:tcW w:w="788" w:type="dxa"/>
            <w:gridSpan w:val="3"/>
            <w:tcBorders>
              <w:top w:val="single" w:color="000000" w:sz="4" w:space="0"/>
              <w:left w:val="single" w:color="000000" w:sz="4" w:space="0"/>
              <w:bottom w:val="nil"/>
              <w:right w:val="single" w:color="000000" w:sz="4" w:space="0"/>
            </w:tcBorders>
            <w:shd w:val="clear" w:color="auto" w:fill="auto"/>
            <w:vAlign w:val="center"/>
          </w:tcPr>
          <w:p w14:paraId="0906BE8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考试资格现场审查次数</w:t>
            </w:r>
          </w:p>
        </w:tc>
        <w:tc>
          <w:tcPr>
            <w:tcW w:w="474" w:type="dxa"/>
            <w:tcBorders>
              <w:top w:val="single" w:color="000000" w:sz="4" w:space="0"/>
              <w:left w:val="single" w:color="000000" w:sz="4" w:space="0"/>
              <w:bottom w:val="nil"/>
              <w:right w:val="single" w:color="000000" w:sz="4" w:space="0"/>
            </w:tcBorders>
            <w:shd w:val="clear" w:color="auto" w:fill="auto"/>
            <w:vAlign w:val="center"/>
          </w:tcPr>
          <w:p w14:paraId="006D406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474" w:type="dxa"/>
            <w:gridSpan w:val="2"/>
            <w:tcBorders>
              <w:top w:val="single" w:color="000000" w:sz="4" w:space="0"/>
              <w:left w:val="single" w:color="000000" w:sz="4" w:space="0"/>
              <w:bottom w:val="nil"/>
              <w:right w:val="single" w:color="000000" w:sz="4" w:space="0"/>
            </w:tcBorders>
            <w:shd w:val="clear" w:color="auto" w:fill="auto"/>
            <w:vAlign w:val="center"/>
          </w:tcPr>
          <w:p w14:paraId="31FA723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等于</w:t>
            </w:r>
          </w:p>
        </w:tc>
        <w:tc>
          <w:tcPr>
            <w:tcW w:w="700" w:type="dxa"/>
            <w:gridSpan w:val="2"/>
            <w:tcBorders>
              <w:top w:val="single" w:color="000000" w:sz="4" w:space="0"/>
              <w:left w:val="single" w:color="000000" w:sz="4" w:space="0"/>
              <w:bottom w:val="nil"/>
              <w:right w:val="single" w:color="000000" w:sz="4" w:space="0"/>
            </w:tcBorders>
            <w:shd w:val="clear" w:color="auto" w:fill="auto"/>
            <w:vAlign w:val="center"/>
          </w:tcPr>
          <w:p w14:paraId="517E6F7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2</w:t>
            </w:r>
          </w:p>
        </w:tc>
        <w:tc>
          <w:tcPr>
            <w:tcW w:w="739" w:type="dxa"/>
            <w:gridSpan w:val="2"/>
            <w:tcBorders>
              <w:top w:val="single" w:color="000000" w:sz="4" w:space="0"/>
              <w:left w:val="single" w:color="000000" w:sz="4" w:space="0"/>
              <w:bottom w:val="nil"/>
              <w:right w:val="single" w:color="000000" w:sz="4" w:space="0"/>
            </w:tcBorders>
            <w:shd w:val="clear" w:color="auto" w:fill="auto"/>
            <w:vAlign w:val="center"/>
          </w:tcPr>
          <w:p w14:paraId="018A42D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2</w:t>
            </w:r>
          </w:p>
        </w:tc>
        <w:tc>
          <w:tcPr>
            <w:tcW w:w="645" w:type="dxa"/>
            <w:gridSpan w:val="2"/>
            <w:tcBorders>
              <w:top w:val="single" w:color="000000" w:sz="4" w:space="0"/>
              <w:left w:val="single" w:color="000000" w:sz="4" w:space="0"/>
              <w:bottom w:val="nil"/>
              <w:right w:val="single" w:color="000000" w:sz="4" w:space="0"/>
            </w:tcBorders>
            <w:shd w:val="clear" w:color="auto" w:fill="auto"/>
            <w:vAlign w:val="center"/>
          </w:tcPr>
          <w:p w14:paraId="2A4E3AD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次</w:t>
            </w:r>
          </w:p>
        </w:tc>
        <w:tc>
          <w:tcPr>
            <w:tcW w:w="504" w:type="dxa"/>
            <w:tcBorders>
              <w:top w:val="single" w:color="000000" w:sz="4" w:space="0"/>
              <w:left w:val="single" w:color="000000" w:sz="4" w:space="0"/>
              <w:bottom w:val="nil"/>
              <w:right w:val="single" w:color="000000" w:sz="4" w:space="0"/>
            </w:tcBorders>
            <w:shd w:val="clear" w:color="auto" w:fill="auto"/>
            <w:vAlign w:val="center"/>
          </w:tcPr>
          <w:p w14:paraId="00E1A5F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1.5</w:t>
            </w:r>
          </w:p>
        </w:tc>
        <w:tc>
          <w:tcPr>
            <w:tcW w:w="626" w:type="dxa"/>
            <w:gridSpan w:val="2"/>
            <w:tcBorders>
              <w:top w:val="single" w:color="000000" w:sz="4" w:space="0"/>
              <w:left w:val="single" w:color="000000" w:sz="4" w:space="0"/>
              <w:bottom w:val="nil"/>
              <w:right w:val="single" w:color="000000" w:sz="4" w:space="0"/>
            </w:tcBorders>
            <w:shd w:val="clear" w:color="auto" w:fill="auto"/>
            <w:vAlign w:val="center"/>
          </w:tcPr>
          <w:p w14:paraId="620AB45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1.5</w:t>
            </w:r>
          </w:p>
        </w:tc>
        <w:tc>
          <w:tcPr>
            <w:tcW w:w="2200" w:type="dxa"/>
            <w:tcBorders>
              <w:top w:val="single" w:color="000000" w:sz="4" w:space="0"/>
              <w:left w:val="single" w:color="000000" w:sz="4" w:space="0"/>
              <w:bottom w:val="nil"/>
              <w:right w:val="single" w:color="000000" w:sz="4" w:space="0"/>
            </w:tcBorders>
            <w:shd w:val="clear" w:color="auto" w:fill="auto"/>
            <w:vAlign w:val="center"/>
          </w:tcPr>
          <w:p w14:paraId="3E1C4A57">
            <w:pPr>
              <w:jc w:val="center"/>
              <w:rPr>
                <w:rFonts w:hint="eastAsia" w:ascii="宋体" w:hAnsi="宋体" w:eastAsia="宋体" w:cs="宋体"/>
                <w:i w:val="0"/>
                <w:iCs w:val="0"/>
                <w:color w:val="000000"/>
                <w:sz w:val="18"/>
                <w:szCs w:val="18"/>
                <w:u w:val="none" w:color="auto"/>
              </w:rPr>
            </w:pPr>
          </w:p>
        </w:tc>
      </w:tr>
      <w:tr w14:paraId="4D015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15" w:type="dxa"/>
          <w:wAfter w:w="30" w:type="dxa"/>
          <w:trHeight w:val="840" w:hRule="atLeast"/>
        </w:trPr>
        <w:tc>
          <w:tcPr>
            <w:tcW w:w="1948" w:type="dxa"/>
            <w:gridSpan w:val="4"/>
            <w:vMerge w:val="continue"/>
            <w:tcBorders>
              <w:top w:val="single" w:color="000000" w:sz="4" w:space="0"/>
              <w:left w:val="single" w:color="000000" w:sz="4" w:space="0"/>
              <w:bottom w:val="nil"/>
              <w:right w:val="single" w:color="000000" w:sz="4" w:space="0"/>
            </w:tcBorders>
            <w:shd w:val="clear" w:color="auto" w:fill="auto"/>
            <w:vAlign w:val="center"/>
          </w:tcPr>
          <w:p w14:paraId="68E1058B">
            <w:pPr>
              <w:jc w:val="center"/>
              <w:rPr>
                <w:rFonts w:hint="eastAsia" w:ascii="宋体" w:hAnsi="宋体" w:eastAsia="宋体" w:cs="宋体"/>
                <w:i w:val="0"/>
                <w:iCs w:val="0"/>
                <w:color w:val="000000"/>
                <w:sz w:val="18"/>
                <w:szCs w:val="18"/>
                <w:u w:val="none" w:color="auto"/>
              </w:rPr>
            </w:pPr>
          </w:p>
        </w:tc>
        <w:tc>
          <w:tcPr>
            <w:tcW w:w="1070" w:type="dxa"/>
            <w:vMerge w:val="continue"/>
            <w:tcBorders>
              <w:top w:val="single" w:color="000000" w:sz="4" w:space="0"/>
              <w:left w:val="single" w:color="000000" w:sz="4" w:space="0"/>
              <w:bottom w:val="nil"/>
              <w:right w:val="single" w:color="000000" w:sz="4" w:space="0"/>
            </w:tcBorders>
            <w:shd w:val="clear" w:color="auto" w:fill="auto"/>
            <w:vAlign w:val="center"/>
          </w:tcPr>
          <w:p w14:paraId="73066018">
            <w:pPr>
              <w:jc w:val="center"/>
              <w:rPr>
                <w:rFonts w:hint="eastAsia" w:ascii="宋体" w:hAnsi="宋体" w:eastAsia="宋体" w:cs="宋体"/>
                <w:i w:val="0"/>
                <w:iCs w:val="0"/>
                <w:color w:val="000000"/>
                <w:sz w:val="18"/>
                <w:szCs w:val="18"/>
                <w:u w:val="none" w:color="auto"/>
              </w:rPr>
            </w:pPr>
          </w:p>
        </w:tc>
        <w:tc>
          <w:tcPr>
            <w:tcW w:w="707"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48133C20">
            <w:pPr>
              <w:jc w:val="center"/>
              <w:rPr>
                <w:rFonts w:hint="eastAsia" w:ascii="宋体" w:hAnsi="宋体" w:eastAsia="宋体" w:cs="宋体"/>
                <w:i w:val="0"/>
                <w:iCs w:val="0"/>
                <w:color w:val="000000"/>
                <w:sz w:val="18"/>
                <w:szCs w:val="18"/>
                <w:u w:val="none" w:color="auto"/>
              </w:rPr>
            </w:pPr>
          </w:p>
        </w:tc>
        <w:tc>
          <w:tcPr>
            <w:tcW w:w="788" w:type="dxa"/>
            <w:gridSpan w:val="3"/>
            <w:tcBorders>
              <w:top w:val="single" w:color="000000" w:sz="4" w:space="0"/>
              <w:left w:val="single" w:color="000000" w:sz="4" w:space="0"/>
              <w:bottom w:val="nil"/>
              <w:right w:val="single" w:color="000000" w:sz="4" w:space="0"/>
            </w:tcBorders>
            <w:shd w:val="clear" w:color="auto" w:fill="auto"/>
            <w:vAlign w:val="center"/>
          </w:tcPr>
          <w:p w14:paraId="4BADCFD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医师资格考试报考人数</w:t>
            </w:r>
          </w:p>
        </w:tc>
        <w:tc>
          <w:tcPr>
            <w:tcW w:w="474" w:type="dxa"/>
            <w:tcBorders>
              <w:top w:val="single" w:color="000000" w:sz="4" w:space="0"/>
              <w:left w:val="single" w:color="000000" w:sz="4" w:space="0"/>
              <w:bottom w:val="nil"/>
              <w:right w:val="single" w:color="000000" w:sz="4" w:space="0"/>
            </w:tcBorders>
            <w:shd w:val="clear" w:color="auto" w:fill="auto"/>
            <w:vAlign w:val="center"/>
          </w:tcPr>
          <w:p w14:paraId="0DDDA62A">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474" w:type="dxa"/>
            <w:gridSpan w:val="2"/>
            <w:tcBorders>
              <w:top w:val="single" w:color="000000" w:sz="4" w:space="0"/>
              <w:left w:val="single" w:color="000000" w:sz="4" w:space="0"/>
              <w:bottom w:val="nil"/>
              <w:right w:val="single" w:color="000000" w:sz="4" w:space="0"/>
            </w:tcBorders>
            <w:shd w:val="clear" w:color="auto" w:fill="auto"/>
            <w:vAlign w:val="center"/>
          </w:tcPr>
          <w:p w14:paraId="6766CCE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大于等于</w:t>
            </w:r>
          </w:p>
        </w:tc>
        <w:tc>
          <w:tcPr>
            <w:tcW w:w="700" w:type="dxa"/>
            <w:gridSpan w:val="2"/>
            <w:tcBorders>
              <w:top w:val="single" w:color="000000" w:sz="4" w:space="0"/>
              <w:left w:val="single" w:color="000000" w:sz="4" w:space="0"/>
              <w:bottom w:val="nil"/>
              <w:right w:val="single" w:color="000000" w:sz="4" w:space="0"/>
            </w:tcBorders>
            <w:shd w:val="clear" w:color="auto" w:fill="auto"/>
            <w:vAlign w:val="center"/>
          </w:tcPr>
          <w:p w14:paraId="07DAB6C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900</w:t>
            </w:r>
          </w:p>
        </w:tc>
        <w:tc>
          <w:tcPr>
            <w:tcW w:w="739" w:type="dxa"/>
            <w:gridSpan w:val="2"/>
            <w:tcBorders>
              <w:top w:val="single" w:color="000000" w:sz="4" w:space="0"/>
              <w:left w:val="single" w:color="000000" w:sz="4" w:space="0"/>
              <w:bottom w:val="nil"/>
              <w:right w:val="single" w:color="000000" w:sz="4" w:space="0"/>
            </w:tcBorders>
            <w:shd w:val="clear" w:color="auto" w:fill="auto"/>
            <w:vAlign w:val="center"/>
          </w:tcPr>
          <w:p w14:paraId="44E4EED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900</w:t>
            </w:r>
          </w:p>
        </w:tc>
        <w:tc>
          <w:tcPr>
            <w:tcW w:w="645" w:type="dxa"/>
            <w:gridSpan w:val="2"/>
            <w:tcBorders>
              <w:top w:val="single" w:color="000000" w:sz="4" w:space="0"/>
              <w:left w:val="single" w:color="000000" w:sz="4" w:space="0"/>
              <w:bottom w:val="nil"/>
              <w:right w:val="single" w:color="000000" w:sz="4" w:space="0"/>
            </w:tcBorders>
            <w:shd w:val="clear" w:color="auto" w:fill="auto"/>
            <w:vAlign w:val="center"/>
          </w:tcPr>
          <w:p w14:paraId="3120082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人</w:t>
            </w:r>
          </w:p>
        </w:tc>
        <w:tc>
          <w:tcPr>
            <w:tcW w:w="504" w:type="dxa"/>
            <w:tcBorders>
              <w:top w:val="single" w:color="000000" w:sz="4" w:space="0"/>
              <w:left w:val="single" w:color="000000" w:sz="4" w:space="0"/>
              <w:bottom w:val="nil"/>
              <w:right w:val="single" w:color="000000" w:sz="4" w:space="0"/>
            </w:tcBorders>
            <w:shd w:val="clear" w:color="auto" w:fill="auto"/>
            <w:vAlign w:val="center"/>
          </w:tcPr>
          <w:p w14:paraId="2005921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1.5</w:t>
            </w:r>
          </w:p>
        </w:tc>
        <w:tc>
          <w:tcPr>
            <w:tcW w:w="626" w:type="dxa"/>
            <w:gridSpan w:val="2"/>
            <w:tcBorders>
              <w:top w:val="single" w:color="000000" w:sz="4" w:space="0"/>
              <w:left w:val="single" w:color="000000" w:sz="4" w:space="0"/>
              <w:bottom w:val="nil"/>
              <w:right w:val="single" w:color="000000" w:sz="4" w:space="0"/>
            </w:tcBorders>
            <w:shd w:val="clear" w:color="auto" w:fill="auto"/>
            <w:vAlign w:val="center"/>
          </w:tcPr>
          <w:p w14:paraId="2CFDB3A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1.5</w:t>
            </w:r>
          </w:p>
        </w:tc>
        <w:tc>
          <w:tcPr>
            <w:tcW w:w="2200" w:type="dxa"/>
            <w:tcBorders>
              <w:top w:val="single" w:color="000000" w:sz="4" w:space="0"/>
              <w:left w:val="single" w:color="000000" w:sz="4" w:space="0"/>
              <w:bottom w:val="nil"/>
              <w:right w:val="single" w:color="000000" w:sz="4" w:space="0"/>
            </w:tcBorders>
            <w:shd w:val="clear" w:color="auto" w:fill="auto"/>
            <w:vAlign w:val="center"/>
          </w:tcPr>
          <w:p w14:paraId="1E1A6686">
            <w:pPr>
              <w:jc w:val="center"/>
              <w:rPr>
                <w:rFonts w:hint="eastAsia" w:ascii="宋体" w:hAnsi="宋体" w:eastAsia="宋体" w:cs="宋体"/>
                <w:i w:val="0"/>
                <w:iCs w:val="0"/>
                <w:color w:val="000000"/>
                <w:sz w:val="18"/>
                <w:szCs w:val="18"/>
                <w:u w:val="none" w:color="auto"/>
              </w:rPr>
            </w:pPr>
          </w:p>
        </w:tc>
      </w:tr>
      <w:tr w14:paraId="229B4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15" w:type="dxa"/>
          <w:wAfter w:w="30" w:type="dxa"/>
          <w:trHeight w:val="840" w:hRule="atLeast"/>
        </w:trPr>
        <w:tc>
          <w:tcPr>
            <w:tcW w:w="1948" w:type="dxa"/>
            <w:gridSpan w:val="4"/>
            <w:vMerge w:val="continue"/>
            <w:tcBorders>
              <w:top w:val="single" w:color="000000" w:sz="4" w:space="0"/>
              <w:left w:val="single" w:color="000000" w:sz="4" w:space="0"/>
              <w:bottom w:val="nil"/>
              <w:right w:val="single" w:color="000000" w:sz="4" w:space="0"/>
            </w:tcBorders>
            <w:shd w:val="clear" w:color="auto" w:fill="auto"/>
            <w:vAlign w:val="center"/>
          </w:tcPr>
          <w:p w14:paraId="24EB9281">
            <w:pPr>
              <w:jc w:val="center"/>
              <w:rPr>
                <w:rFonts w:hint="eastAsia" w:ascii="宋体" w:hAnsi="宋体" w:eastAsia="宋体" w:cs="宋体"/>
                <w:i w:val="0"/>
                <w:iCs w:val="0"/>
                <w:color w:val="000000"/>
                <w:sz w:val="18"/>
                <w:szCs w:val="18"/>
                <w:u w:val="none" w:color="auto"/>
              </w:rPr>
            </w:pPr>
          </w:p>
        </w:tc>
        <w:tc>
          <w:tcPr>
            <w:tcW w:w="1070" w:type="dxa"/>
            <w:vMerge w:val="continue"/>
            <w:tcBorders>
              <w:top w:val="single" w:color="000000" w:sz="4" w:space="0"/>
              <w:left w:val="single" w:color="000000" w:sz="4" w:space="0"/>
              <w:bottom w:val="nil"/>
              <w:right w:val="single" w:color="000000" w:sz="4" w:space="0"/>
            </w:tcBorders>
            <w:shd w:val="clear" w:color="auto" w:fill="auto"/>
            <w:vAlign w:val="center"/>
          </w:tcPr>
          <w:p w14:paraId="09C6DD9C">
            <w:pPr>
              <w:jc w:val="center"/>
              <w:rPr>
                <w:rFonts w:hint="eastAsia" w:ascii="宋体" w:hAnsi="宋体" w:eastAsia="宋体" w:cs="宋体"/>
                <w:i w:val="0"/>
                <w:iCs w:val="0"/>
                <w:color w:val="000000"/>
                <w:sz w:val="18"/>
                <w:szCs w:val="18"/>
                <w:u w:val="none" w:color="auto"/>
              </w:rPr>
            </w:pPr>
          </w:p>
        </w:tc>
        <w:tc>
          <w:tcPr>
            <w:tcW w:w="707"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736C7ADD">
            <w:pPr>
              <w:jc w:val="center"/>
              <w:rPr>
                <w:rFonts w:hint="eastAsia" w:ascii="宋体" w:hAnsi="宋体" w:eastAsia="宋体" w:cs="宋体"/>
                <w:i w:val="0"/>
                <w:iCs w:val="0"/>
                <w:color w:val="000000"/>
                <w:sz w:val="18"/>
                <w:szCs w:val="18"/>
                <w:u w:val="none" w:color="auto"/>
              </w:rPr>
            </w:pPr>
          </w:p>
        </w:tc>
        <w:tc>
          <w:tcPr>
            <w:tcW w:w="788" w:type="dxa"/>
            <w:gridSpan w:val="3"/>
            <w:tcBorders>
              <w:top w:val="single" w:color="000000" w:sz="4" w:space="0"/>
              <w:left w:val="single" w:color="000000" w:sz="4" w:space="0"/>
              <w:bottom w:val="nil"/>
              <w:right w:val="single" w:color="000000" w:sz="4" w:space="0"/>
            </w:tcBorders>
            <w:shd w:val="clear" w:color="auto" w:fill="auto"/>
            <w:vAlign w:val="center"/>
          </w:tcPr>
          <w:p w14:paraId="6670267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医师资格考试业务人员培训次数</w:t>
            </w:r>
          </w:p>
        </w:tc>
        <w:tc>
          <w:tcPr>
            <w:tcW w:w="474" w:type="dxa"/>
            <w:tcBorders>
              <w:top w:val="single" w:color="000000" w:sz="4" w:space="0"/>
              <w:left w:val="single" w:color="000000" w:sz="4" w:space="0"/>
              <w:bottom w:val="nil"/>
              <w:right w:val="single" w:color="000000" w:sz="4" w:space="0"/>
            </w:tcBorders>
            <w:shd w:val="clear" w:color="auto" w:fill="auto"/>
            <w:vAlign w:val="center"/>
          </w:tcPr>
          <w:p w14:paraId="5B61ACF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474" w:type="dxa"/>
            <w:gridSpan w:val="2"/>
            <w:tcBorders>
              <w:top w:val="single" w:color="000000" w:sz="4" w:space="0"/>
              <w:left w:val="single" w:color="000000" w:sz="4" w:space="0"/>
              <w:bottom w:val="nil"/>
              <w:right w:val="single" w:color="000000" w:sz="4" w:space="0"/>
            </w:tcBorders>
            <w:shd w:val="clear" w:color="auto" w:fill="auto"/>
            <w:vAlign w:val="center"/>
          </w:tcPr>
          <w:p w14:paraId="29A11F4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大于等于</w:t>
            </w:r>
          </w:p>
        </w:tc>
        <w:tc>
          <w:tcPr>
            <w:tcW w:w="700" w:type="dxa"/>
            <w:gridSpan w:val="2"/>
            <w:tcBorders>
              <w:top w:val="single" w:color="000000" w:sz="4" w:space="0"/>
              <w:left w:val="single" w:color="000000" w:sz="4" w:space="0"/>
              <w:bottom w:val="nil"/>
              <w:right w:val="single" w:color="000000" w:sz="4" w:space="0"/>
            </w:tcBorders>
            <w:shd w:val="clear" w:color="auto" w:fill="auto"/>
            <w:vAlign w:val="center"/>
          </w:tcPr>
          <w:p w14:paraId="2965007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8</w:t>
            </w:r>
          </w:p>
        </w:tc>
        <w:tc>
          <w:tcPr>
            <w:tcW w:w="739" w:type="dxa"/>
            <w:gridSpan w:val="2"/>
            <w:tcBorders>
              <w:top w:val="single" w:color="000000" w:sz="4" w:space="0"/>
              <w:left w:val="single" w:color="000000" w:sz="4" w:space="0"/>
              <w:bottom w:val="nil"/>
              <w:right w:val="single" w:color="000000" w:sz="4" w:space="0"/>
            </w:tcBorders>
            <w:shd w:val="clear" w:color="auto" w:fill="auto"/>
            <w:vAlign w:val="center"/>
          </w:tcPr>
          <w:p w14:paraId="2F7FBDC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8</w:t>
            </w:r>
          </w:p>
        </w:tc>
        <w:tc>
          <w:tcPr>
            <w:tcW w:w="645" w:type="dxa"/>
            <w:gridSpan w:val="2"/>
            <w:tcBorders>
              <w:top w:val="single" w:color="000000" w:sz="4" w:space="0"/>
              <w:left w:val="single" w:color="000000" w:sz="4" w:space="0"/>
              <w:bottom w:val="nil"/>
              <w:right w:val="single" w:color="000000" w:sz="4" w:space="0"/>
            </w:tcBorders>
            <w:shd w:val="clear" w:color="auto" w:fill="auto"/>
            <w:vAlign w:val="center"/>
          </w:tcPr>
          <w:p w14:paraId="56E649E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次</w:t>
            </w:r>
          </w:p>
        </w:tc>
        <w:tc>
          <w:tcPr>
            <w:tcW w:w="504" w:type="dxa"/>
            <w:tcBorders>
              <w:top w:val="single" w:color="000000" w:sz="4" w:space="0"/>
              <w:left w:val="single" w:color="000000" w:sz="4" w:space="0"/>
              <w:bottom w:val="nil"/>
              <w:right w:val="single" w:color="000000" w:sz="4" w:space="0"/>
            </w:tcBorders>
            <w:shd w:val="clear" w:color="auto" w:fill="auto"/>
            <w:vAlign w:val="center"/>
          </w:tcPr>
          <w:p w14:paraId="45BC66F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1.5</w:t>
            </w:r>
          </w:p>
        </w:tc>
        <w:tc>
          <w:tcPr>
            <w:tcW w:w="626" w:type="dxa"/>
            <w:gridSpan w:val="2"/>
            <w:tcBorders>
              <w:top w:val="single" w:color="000000" w:sz="4" w:space="0"/>
              <w:left w:val="single" w:color="000000" w:sz="4" w:space="0"/>
              <w:bottom w:val="nil"/>
              <w:right w:val="single" w:color="000000" w:sz="4" w:space="0"/>
            </w:tcBorders>
            <w:shd w:val="clear" w:color="auto" w:fill="auto"/>
            <w:vAlign w:val="center"/>
          </w:tcPr>
          <w:p w14:paraId="6E6576F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1.5</w:t>
            </w:r>
          </w:p>
        </w:tc>
        <w:tc>
          <w:tcPr>
            <w:tcW w:w="2200" w:type="dxa"/>
            <w:tcBorders>
              <w:top w:val="single" w:color="000000" w:sz="4" w:space="0"/>
              <w:left w:val="single" w:color="000000" w:sz="4" w:space="0"/>
              <w:bottom w:val="nil"/>
              <w:right w:val="single" w:color="000000" w:sz="4" w:space="0"/>
            </w:tcBorders>
            <w:shd w:val="clear" w:color="auto" w:fill="auto"/>
            <w:vAlign w:val="center"/>
          </w:tcPr>
          <w:p w14:paraId="5A41B41C">
            <w:pPr>
              <w:jc w:val="center"/>
              <w:rPr>
                <w:rFonts w:hint="eastAsia" w:ascii="宋体" w:hAnsi="宋体" w:eastAsia="宋体" w:cs="宋体"/>
                <w:i w:val="0"/>
                <w:iCs w:val="0"/>
                <w:color w:val="000000"/>
                <w:sz w:val="18"/>
                <w:szCs w:val="18"/>
                <w:u w:val="none" w:color="auto"/>
              </w:rPr>
            </w:pPr>
          </w:p>
        </w:tc>
      </w:tr>
      <w:tr w14:paraId="28E7B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15" w:type="dxa"/>
          <w:wAfter w:w="30" w:type="dxa"/>
          <w:trHeight w:val="840" w:hRule="atLeast"/>
        </w:trPr>
        <w:tc>
          <w:tcPr>
            <w:tcW w:w="1948" w:type="dxa"/>
            <w:gridSpan w:val="4"/>
            <w:vMerge w:val="continue"/>
            <w:tcBorders>
              <w:top w:val="single" w:color="000000" w:sz="4" w:space="0"/>
              <w:left w:val="single" w:color="000000" w:sz="4" w:space="0"/>
              <w:bottom w:val="nil"/>
              <w:right w:val="single" w:color="000000" w:sz="4" w:space="0"/>
            </w:tcBorders>
            <w:shd w:val="clear" w:color="auto" w:fill="auto"/>
            <w:vAlign w:val="center"/>
          </w:tcPr>
          <w:p w14:paraId="04A7A63B">
            <w:pPr>
              <w:jc w:val="center"/>
              <w:rPr>
                <w:rFonts w:hint="eastAsia" w:ascii="宋体" w:hAnsi="宋体" w:eastAsia="宋体" w:cs="宋体"/>
                <w:i w:val="0"/>
                <w:iCs w:val="0"/>
                <w:color w:val="000000"/>
                <w:sz w:val="18"/>
                <w:szCs w:val="18"/>
                <w:u w:val="none" w:color="auto"/>
              </w:rPr>
            </w:pPr>
          </w:p>
        </w:tc>
        <w:tc>
          <w:tcPr>
            <w:tcW w:w="1070" w:type="dxa"/>
            <w:vMerge w:val="continue"/>
            <w:tcBorders>
              <w:top w:val="single" w:color="000000" w:sz="4" w:space="0"/>
              <w:left w:val="single" w:color="000000" w:sz="4" w:space="0"/>
              <w:bottom w:val="nil"/>
              <w:right w:val="single" w:color="000000" w:sz="4" w:space="0"/>
            </w:tcBorders>
            <w:shd w:val="clear" w:color="auto" w:fill="auto"/>
            <w:vAlign w:val="center"/>
          </w:tcPr>
          <w:p w14:paraId="23FA2146">
            <w:pPr>
              <w:jc w:val="center"/>
              <w:rPr>
                <w:rFonts w:hint="eastAsia" w:ascii="宋体" w:hAnsi="宋体" w:eastAsia="宋体" w:cs="宋体"/>
                <w:i w:val="0"/>
                <w:iCs w:val="0"/>
                <w:color w:val="000000"/>
                <w:sz w:val="18"/>
                <w:szCs w:val="18"/>
                <w:u w:val="none" w:color="auto"/>
              </w:rPr>
            </w:pPr>
          </w:p>
        </w:tc>
        <w:tc>
          <w:tcPr>
            <w:tcW w:w="707"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4F8563D6">
            <w:pPr>
              <w:jc w:val="center"/>
              <w:rPr>
                <w:rFonts w:hint="eastAsia" w:ascii="宋体" w:hAnsi="宋体" w:eastAsia="宋体" w:cs="宋体"/>
                <w:i w:val="0"/>
                <w:iCs w:val="0"/>
                <w:color w:val="000000"/>
                <w:sz w:val="18"/>
                <w:szCs w:val="18"/>
                <w:u w:val="none" w:color="auto"/>
              </w:rPr>
            </w:pPr>
          </w:p>
        </w:tc>
        <w:tc>
          <w:tcPr>
            <w:tcW w:w="788" w:type="dxa"/>
            <w:gridSpan w:val="3"/>
            <w:tcBorders>
              <w:top w:val="single" w:color="000000" w:sz="4" w:space="0"/>
              <w:left w:val="single" w:color="000000" w:sz="4" w:space="0"/>
              <w:bottom w:val="nil"/>
              <w:right w:val="single" w:color="000000" w:sz="4" w:space="0"/>
            </w:tcBorders>
            <w:shd w:val="clear" w:color="auto" w:fill="auto"/>
            <w:vAlign w:val="center"/>
          </w:tcPr>
          <w:p w14:paraId="165F566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医师资格考试业务人员培训人数</w:t>
            </w:r>
          </w:p>
        </w:tc>
        <w:tc>
          <w:tcPr>
            <w:tcW w:w="474" w:type="dxa"/>
            <w:tcBorders>
              <w:top w:val="single" w:color="000000" w:sz="4" w:space="0"/>
              <w:left w:val="single" w:color="000000" w:sz="4" w:space="0"/>
              <w:bottom w:val="nil"/>
              <w:right w:val="single" w:color="000000" w:sz="4" w:space="0"/>
            </w:tcBorders>
            <w:shd w:val="clear" w:color="auto" w:fill="auto"/>
            <w:vAlign w:val="center"/>
          </w:tcPr>
          <w:p w14:paraId="3EF092F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474" w:type="dxa"/>
            <w:gridSpan w:val="2"/>
            <w:tcBorders>
              <w:top w:val="single" w:color="000000" w:sz="4" w:space="0"/>
              <w:left w:val="single" w:color="000000" w:sz="4" w:space="0"/>
              <w:bottom w:val="nil"/>
              <w:right w:val="single" w:color="000000" w:sz="4" w:space="0"/>
            </w:tcBorders>
            <w:shd w:val="clear" w:color="auto" w:fill="auto"/>
            <w:vAlign w:val="center"/>
          </w:tcPr>
          <w:p w14:paraId="274A6F5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大于等于</w:t>
            </w:r>
          </w:p>
        </w:tc>
        <w:tc>
          <w:tcPr>
            <w:tcW w:w="700" w:type="dxa"/>
            <w:gridSpan w:val="2"/>
            <w:tcBorders>
              <w:top w:val="single" w:color="000000" w:sz="4" w:space="0"/>
              <w:left w:val="single" w:color="000000" w:sz="4" w:space="0"/>
              <w:bottom w:val="nil"/>
              <w:right w:val="single" w:color="000000" w:sz="4" w:space="0"/>
            </w:tcBorders>
            <w:shd w:val="clear" w:color="auto" w:fill="auto"/>
            <w:vAlign w:val="center"/>
          </w:tcPr>
          <w:p w14:paraId="0428C75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285</w:t>
            </w:r>
          </w:p>
        </w:tc>
        <w:tc>
          <w:tcPr>
            <w:tcW w:w="739" w:type="dxa"/>
            <w:gridSpan w:val="2"/>
            <w:tcBorders>
              <w:top w:val="single" w:color="000000" w:sz="4" w:space="0"/>
              <w:left w:val="single" w:color="000000" w:sz="4" w:space="0"/>
              <w:bottom w:val="nil"/>
              <w:right w:val="single" w:color="000000" w:sz="4" w:space="0"/>
            </w:tcBorders>
            <w:shd w:val="clear" w:color="auto" w:fill="auto"/>
            <w:vAlign w:val="center"/>
          </w:tcPr>
          <w:p w14:paraId="2C93C6C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285</w:t>
            </w:r>
          </w:p>
        </w:tc>
        <w:tc>
          <w:tcPr>
            <w:tcW w:w="645" w:type="dxa"/>
            <w:gridSpan w:val="2"/>
            <w:tcBorders>
              <w:top w:val="single" w:color="000000" w:sz="4" w:space="0"/>
              <w:left w:val="single" w:color="000000" w:sz="4" w:space="0"/>
              <w:bottom w:val="nil"/>
              <w:right w:val="single" w:color="000000" w:sz="4" w:space="0"/>
            </w:tcBorders>
            <w:shd w:val="clear" w:color="auto" w:fill="auto"/>
            <w:vAlign w:val="center"/>
          </w:tcPr>
          <w:p w14:paraId="33D4EB4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人</w:t>
            </w:r>
          </w:p>
        </w:tc>
        <w:tc>
          <w:tcPr>
            <w:tcW w:w="504" w:type="dxa"/>
            <w:tcBorders>
              <w:top w:val="single" w:color="000000" w:sz="4" w:space="0"/>
              <w:left w:val="single" w:color="000000" w:sz="4" w:space="0"/>
              <w:bottom w:val="nil"/>
              <w:right w:val="single" w:color="000000" w:sz="4" w:space="0"/>
            </w:tcBorders>
            <w:shd w:val="clear" w:color="auto" w:fill="auto"/>
            <w:vAlign w:val="center"/>
          </w:tcPr>
          <w:p w14:paraId="1356CE0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1.5</w:t>
            </w:r>
          </w:p>
        </w:tc>
        <w:tc>
          <w:tcPr>
            <w:tcW w:w="626" w:type="dxa"/>
            <w:gridSpan w:val="2"/>
            <w:tcBorders>
              <w:top w:val="single" w:color="000000" w:sz="4" w:space="0"/>
              <w:left w:val="single" w:color="000000" w:sz="4" w:space="0"/>
              <w:bottom w:val="nil"/>
              <w:right w:val="single" w:color="000000" w:sz="4" w:space="0"/>
            </w:tcBorders>
            <w:shd w:val="clear" w:color="auto" w:fill="auto"/>
            <w:vAlign w:val="center"/>
          </w:tcPr>
          <w:p w14:paraId="08A9A50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1.5</w:t>
            </w:r>
          </w:p>
        </w:tc>
        <w:tc>
          <w:tcPr>
            <w:tcW w:w="2200" w:type="dxa"/>
            <w:tcBorders>
              <w:top w:val="single" w:color="000000" w:sz="4" w:space="0"/>
              <w:left w:val="single" w:color="000000" w:sz="4" w:space="0"/>
              <w:bottom w:val="nil"/>
              <w:right w:val="single" w:color="000000" w:sz="4" w:space="0"/>
            </w:tcBorders>
            <w:shd w:val="clear" w:color="auto" w:fill="auto"/>
            <w:vAlign w:val="center"/>
          </w:tcPr>
          <w:p w14:paraId="593B391B">
            <w:pPr>
              <w:jc w:val="center"/>
              <w:rPr>
                <w:rFonts w:hint="eastAsia" w:ascii="宋体" w:hAnsi="宋体" w:eastAsia="宋体" w:cs="宋体"/>
                <w:i w:val="0"/>
                <w:iCs w:val="0"/>
                <w:color w:val="000000"/>
                <w:sz w:val="18"/>
                <w:szCs w:val="18"/>
                <w:u w:val="none" w:color="auto"/>
              </w:rPr>
            </w:pPr>
          </w:p>
        </w:tc>
      </w:tr>
      <w:tr w14:paraId="7682E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15" w:type="dxa"/>
          <w:wAfter w:w="30" w:type="dxa"/>
          <w:trHeight w:val="840" w:hRule="atLeast"/>
        </w:trPr>
        <w:tc>
          <w:tcPr>
            <w:tcW w:w="1948" w:type="dxa"/>
            <w:gridSpan w:val="4"/>
            <w:vMerge w:val="continue"/>
            <w:tcBorders>
              <w:top w:val="single" w:color="000000" w:sz="4" w:space="0"/>
              <w:left w:val="single" w:color="000000" w:sz="4" w:space="0"/>
              <w:bottom w:val="nil"/>
              <w:right w:val="single" w:color="000000" w:sz="4" w:space="0"/>
            </w:tcBorders>
            <w:shd w:val="clear" w:color="auto" w:fill="auto"/>
            <w:vAlign w:val="center"/>
          </w:tcPr>
          <w:p w14:paraId="0726F86A">
            <w:pPr>
              <w:jc w:val="center"/>
              <w:rPr>
                <w:rFonts w:hint="eastAsia" w:ascii="宋体" w:hAnsi="宋体" w:eastAsia="宋体" w:cs="宋体"/>
                <w:i w:val="0"/>
                <w:iCs w:val="0"/>
                <w:color w:val="000000"/>
                <w:sz w:val="18"/>
                <w:szCs w:val="18"/>
                <w:u w:val="none" w:color="auto"/>
              </w:rPr>
            </w:pPr>
          </w:p>
        </w:tc>
        <w:tc>
          <w:tcPr>
            <w:tcW w:w="1070" w:type="dxa"/>
            <w:vMerge w:val="continue"/>
            <w:tcBorders>
              <w:top w:val="single" w:color="000000" w:sz="4" w:space="0"/>
              <w:left w:val="single" w:color="000000" w:sz="4" w:space="0"/>
              <w:bottom w:val="nil"/>
              <w:right w:val="single" w:color="000000" w:sz="4" w:space="0"/>
            </w:tcBorders>
            <w:shd w:val="clear" w:color="auto" w:fill="auto"/>
            <w:vAlign w:val="center"/>
          </w:tcPr>
          <w:p w14:paraId="010304B4">
            <w:pPr>
              <w:jc w:val="center"/>
              <w:rPr>
                <w:rFonts w:hint="eastAsia" w:ascii="宋体" w:hAnsi="宋体" w:eastAsia="宋体" w:cs="宋体"/>
                <w:i w:val="0"/>
                <w:iCs w:val="0"/>
                <w:color w:val="000000"/>
                <w:sz w:val="18"/>
                <w:szCs w:val="18"/>
                <w:u w:val="none" w:color="auto"/>
              </w:rPr>
            </w:pPr>
          </w:p>
        </w:tc>
        <w:tc>
          <w:tcPr>
            <w:tcW w:w="707"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325D317A">
            <w:pPr>
              <w:jc w:val="center"/>
              <w:rPr>
                <w:rFonts w:hint="eastAsia" w:ascii="宋体" w:hAnsi="宋体" w:eastAsia="宋体" w:cs="宋体"/>
                <w:i w:val="0"/>
                <w:iCs w:val="0"/>
                <w:color w:val="000000"/>
                <w:sz w:val="18"/>
                <w:szCs w:val="18"/>
                <w:u w:val="none" w:color="auto"/>
              </w:rPr>
            </w:pPr>
          </w:p>
        </w:tc>
        <w:tc>
          <w:tcPr>
            <w:tcW w:w="788" w:type="dxa"/>
            <w:gridSpan w:val="3"/>
            <w:tcBorders>
              <w:top w:val="single" w:color="000000" w:sz="4" w:space="0"/>
              <w:left w:val="single" w:color="000000" w:sz="4" w:space="0"/>
              <w:bottom w:val="nil"/>
              <w:right w:val="single" w:color="000000" w:sz="4" w:space="0"/>
            </w:tcBorders>
            <w:shd w:val="clear" w:color="auto" w:fill="auto"/>
            <w:vAlign w:val="center"/>
          </w:tcPr>
          <w:p w14:paraId="18127AB1">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专业技术资格考试次数</w:t>
            </w:r>
          </w:p>
        </w:tc>
        <w:tc>
          <w:tcPr>
            <w:tcW w:w="474" w:type="dxa"/>
            <w:tcBorders>
              <w:top w:val="single" w:color="000000" w:sz="4" w:space="0"/>
              <w:left w:val="single" w:color="000000" w:sz="4" w:space="0"/>
              <w:bottom w:val="nil"/>
              <w:right w:val="single" w:color="000000" w:sz="4" w:space="0"/>
            </w:tcBorders>
            <w:shd w:val="clear" w:color="auto" w:fill="auto"/>
            <w:vAlign w:val="center"/>
          </w:tcPr>
          <w:p w14:paraId="445079F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474" w:type="dxa"/>
            <w:gridSpan w:val="2"/>
            <w:tcBorders>
              <w:top w:val="single" w:color="000000" w:sz="4" w:space="0"/>
              <w:left w:val="single" w:color="000000" w:sz="4" w:space="0"/>
              <w:bottom w:val="nil"/>
              <w:right w:val="single" w:color="000000" w:sz="4" w:space="0"/>
            </w:tcBorders>
            <w:shd w:val="clear" w:color="auto" w:fill="auto"/>
            <w:vAlign w:val="center"/>
          </w:tcPr>
          <w:p w14:paraId="4DA84F7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等于</w:t>
            </w:r>
          </w:p>
        </w:tc>
        <w:tc>
          <w:tcPr>
            <w:tcW w:w="700" w:type="dxa"/>
            <w:gridSpan w:val="2"/>
            <w:tcBorders>
              <w:top w:val="single" w:color="000000" w:sz="4" w:space="0"/>
              <w:left w:val="single" w:color="000000" w:sz="4" w:space="0"/>
              <w:bottom w:val="nil"/>
              <w:right w:val="single" w:color="000000" w:sz="4" w:space="0"/>
            </w:tcBorders>
            <w:shd w:val="clear" w:color="auto" w:fill="auto"/>
            <w:vAlign w:val="center"/>
          </w:tcPr>
          <w:p w14:paraId="081001E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739" w:type="dxa"/>
            <w:gridSpan w:val="2"/>
            <w:tcBorders>
              <w:top w:val="single" w:color="000000" w:sz="4" w:space="0"/>
              <w:left w:val="single" w:color="000000" w:sz="4" w:space="0"/>
              <w:bottom w:val="nil"/>
              <w:right w:val="single" w:color="000000" w:sz="4" w:space="0"/>
            </w:tcBorders>
            <w:shd w:val="clear" w:color="auto" w:fill="auto"/>
            <w:vAlign w:val="center"/>
          </w:tcPr>
          <w:p w14:paraId="5D1CE71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645" w:type="dxa"/>
            <w:gridSpan w:val="2"/>
            <w:tcBorders>
              <w:top w:val="single" w:color="000000" w:sz="4" w:space="0"/>
              <w:left w:val="single" w:color="000000" w:sz="4" w:space="0"/>
              <w:bottom w:val="nil"/>
              <w:right w:val="single" w:color="000000" w:sz="4" w:space="0"/>
            </w:tcBorders>
            <w:shd w:val="clear" w:color="auto" w:fill="auto"/>
            <w:vAlign w:val="center"/>
          </w:tcPr>
          <w:p w14:paraId="559EB4A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次</w:t>
            </w:r>
          </w:p>
        </w:tc>
        <w:tc>
          <w:tcPr>
            <w:tcW w:w="504" w:type="dxa"/>
            <w:tcBorders>
              <w:top w:val="single" w:color="000000" w:sz="4" w:space="0"/>
              <w:left w:val="single" w:color="000000" w:sz="4" w:space="0"/>
              <w:bottom w:val="nil"/>
              <w:right w:val="single" w:color="000000" w:sz="4" w:space="0"/>
            </w:tcBorders>
            <w:shd w:val="clear" w:color="auto" w:fill="auto"/>
            <w:vAlign w:val="center"/>
          </w:tcPr>
          <w:p w14:paraId="2A9BF39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1.5</w:t>
            </w:r>
          </w:p>
        </w:tc>
        <w:tc>
          <w:tcPr>
            <w:tcW w:w="626" w:type="dxa"/>
            <w:gridSpan w:val="2"/>
            <w:tcBorders>
              <w:top w:val="single" w:color="000000" w:sz="4" w:space="0"/>
              <w:left w:val="single" w:color="000000" w:sz="4" w:space="0"/>
              <w:bottom w:val="nil"/>
              <w:right w:val="single" w:color="000000" w:sz="4" w:space="0"/>
            </w:tcBorders>
            <w:shd w:val="clear" w:color="auto" w:fill="auto"/>
            <w:vAlign w:val="center"/>
          </w:tcPr>
          <w:p w14:paraId="4597A4C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1.5</w:t>
            </w:r>
          </w:p>
        </w:tc>
        <w:tc>
          <w:tcPr>
            <w:tcW w:w="2200" w:type="dxa"/>
            <w:tcBorders>
              <w:top w:val="single" w:color="000000" w:sz="4" w:space="0"/>
              <w:left w:val="single" w:color="000000" w:sz="4" w:space="0"/>
              <w:bottom w:val="nil"/>
              <w:right w:val="single" w:color="000000" w:sz="4" w:space="0"/>
            </w:tcBorders>
            <w:shd w:val="clear" w:color="auto" w:fill="auto"/>
            <w:vAlign w:val="center"/>
          </w:tcPr>
          <w:p w14:paraId="060C49AA">
            <w:pPr>
              <w:jc w:val="center"/>
              <w:rPr>
                <w:rFonts w:hint="eastAsia" w:ascii="宋体" w:hAnsi="宋体" w:eastAsia="宋体" w:cs="宋体"/>
                <w:i w:val="0"/>
                <w:iCs w:val="0"/>
                <w:color w:val="000000"/>
                <w:sz w:val="18"/>
                <w:szCs w:val="18"/>
                <w:u w:val="none" w:color="auto"/>
              </w:rPr>
            </w:pPr>
          </w:p>
        </w:tc>
      </w:tr>
      <w:tr w14:paraId="6C83F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15" w:type="dxa"/>
          <w:wAfter w:w="30" w:type="dxa"/>
          <w:trHeight w:val="840" w:hRule="atLeast"/>
        </w:trPr>
        <w:tc>
          <w:tcPr>
            <w:tcW w:w="1948" w:type="dxa"/>
            <w:gridSpan w:val="4"/>
            <w:vMerge w:val="continue"/>
            <w:tcBorders>
              <w:top w:val="single" w:color="000000" w:sz="4" w:space="0"/>
              <w:left w:val="single" w:color="000000" w:sz="4" w:space="0"/>
              <w:bottom w:val="nil"/>
              <w:right w:val="single" w:color="000000" w:sz="4" w:space="0"/>
            </w:tcBorders>
            <w:shd w:val="clear" w:color="auto" w:fill="auto"/>
            <w:vAlign w:val="center"/>
          </w:tcPr>
          <w:p w14:paraId="15469C3B">
            <w:pPr>
              <w:jc w:val="center"/>
              <w:rPr>
                <w:rFonts w:hint="eastAsia" w:ascii="宋体" w:hAnsi="宋体" w:eastAsia="宋体" w:cs="宋体"/>
                <w:i w:val="0"/>
                <w:iCs w:val="0"/>
                <w:color w:val="000000"/>
                <w:sz w:val="18"/>
                <w:szCs w:val="18"/>
                <w:u w:val="none" w:color="auto"/>
              </w:rPr>
            </w:pPr>
          </w:p>
        </w:tc>
        <w:tc>
          <w:tcPr>
            <w:tcW w:w="1070" w:type="dxa"/>
            <w:vMerge w:val="continue"/>
            <w:tcBorders>
              <w:top w:val="single" w:color="000000" w:sz="4" w:space="0"/>
              <w:left w:val="single" w:color="000000" w:sz="4" w:space="0"/>
              <w:bottom w:val="nil"/>
              <w:right w:val="single" w:color="000000" w:sz="4" w:space="0"/>
            </w:tcBorders>
            <w:shd w:val="clear" w:color="auto" w:fill="auto"/>
            <w:vAlign w:val="center"/>
          </w:tcPr>
          <w:p w14:paraId="03531C92">
            <w:pPr>
              <w:jc w:val="center"/>
              <w:rPr>
                <w:rFonts w:hint="eastAsia" w:ascii="宋体" w:hAnsi="宋体" w:eastAsia="宋体" w:cs="宋体"/>
                <w:i w:val="0"/>
                <w:iCs w:val="0"/>
                <w:color w:val="000000"/>
                <w:sz w:val="18"/>
                <w:szCs w:val="18"/>
                <w:u w:val="none" w:color="auto"/>
              </w:rPr>
            </w:pPr>
          </w:p>
        </w:tc>
        <w:tc>
          <w:tcPr>
            <w:tcW w:w="707"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04D601A1">
            <w:pPr>
              <w:jc w:val="center"/>
              <w:rPr>
                <w:rFonts w:hint="eastAsia" w:ascii="宋体" w:hAnsi="宋体" w:eastAsia="宋体" w:cs="宋体"/>
                <w:i w:val="0"/>
                <w:iCs w:val="0"/>
                <w:color w:val="000000"/>
                <w:sz w:val="18"/>
                <w:szCs w:val="18"/>
                <w:u w:val="none" w:color="auto"/>
              </w:rPr>
            </w:pPr>
          </w:p>
        </w:tc>
        <w:tc>
          <w:tcPr>
            <w:tcW w:w="788" w:type="dxa"/>
            <w:gridSpan w:val="3"/>
            <w:tcBorders>
              <w:top w:val="single" w:color="000000" w:sz="4" w:space="0"/>
              <w:left w:val="single" w:color="000000" w:sz="4" w:space="0"/>
              <w:bottom w:val="nil"/>
              <w:right w:val="single" w:color="000000" w:sz="4" w:space="0"/>
            </w:tcBorders>
            <w:shd w:val="clear" w:color="auto" w:fill="auto"/>
            <w:vAlign w:val="center"/>
          </w:tcPr>
          <w:p w14:paraId="7D728EA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专业技术资格考试现场审查次数</w:t>
            </w:r>
          </w:p>
        </w:tc>
        <w:tc>
          <w:tcPr>
            <w:tcW w:w="474" w:type="dxa"/>
            <w:tcBorders>
              <w:top w:val="single" w:color="000000" w:sz="4" w:space="0"/>
              <w:left w:val="single" w:color="000000" w:sz="4" w:space="0"/>
              <w:bottom w:val="nil"/>
              <w:right w:val="single" w:color="000000" w:sz="4" w:space="0"/>
            </w:tcBorders>
            <w:shd w:val="clear" w:color="auto" w:fill="auto"/>
            <w:vAlign w:val="center"/>
          </w:tcPr>
          <w:p w14:paraId="0D0E705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474" w:type="dxa"/>
            <w:gridSpan w:val="2"/>
            <w:tcBorders>
              <w:top w:val="single" w:color="000000" w:sz="4" w:space="0"/>
              <w:left w:val="single" w:color="000000" w:sz="4" w:space="0"/>
              <w:bottom w:val="nil"/>
              <w:right w:val="single" w:color="000000" w:sz="4" w:space="0"/>
            </w:tcBorders>
            <w:shd w:val="clear" w:color="auto" w:fill="auto"/>
            <w:vAlign w:val="center"/>
          </w:tcPr>
          <w:p w14:paraId="04DF33F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等于</w:t>
            </w:r>
          </w:p>
        </w:tc>
        <w:tc>
          <w:tcPr>
            <w:tcW w:w="700" w:type="dxa"/>
            <w:gridSpan w:val="2"/>
            <w:tcBorders>
              <w:top w:val="single" w:color="000000" w:sz="4" w:space="0"/>
              <w:left w:val="single" w:color="000000" w:sz="4" w:space="0"/>
              <w:bottom w:val="nil"/>
              <w:right w:val="single" w:color="000000" w:sz="4" w:space="0"/>
            </w:tcBorders>
            <w:shd w:val="clear" w:color="auto" w:fill="auto"/>
            <w:vAlign w:val="center"/>
          </w:tcPr>
          <w:p w14:paraId="59B63E1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6</w:t>
            </w:r>
          </w:p>
        </w:tc>
        <w:tc>
          <w:tcPr>
            <w:tcW w:w="739" w:type="dxa"/>
            <w:gridSpan w:val="2"/>
            <w:tcBorders>
              <w:top w:val="single" w:color="000000" w:sz="4" w:space="0"/>
              <w:left w:val="single" w:color="000000" w:sz="4" w:space="0"/>
              <w:bottom w:val="nil"/>
              <w:right w:val="single" w:color="000000" w:sz="4" w:space="0"/>
            </w:tcBorders>
            <w:shd w:val="clear" w:color="auto" w:fill="auto"/>
            <w:vAlign w:val="center"/>
          </w:tcPr>
          <w:p w14:paraId="3A09072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6</w:t>
            </w:r>
          </w:p>
        </w:tc>
        <w:tc>
          <w:tcPr>
            <w:tcW w:w="645" w:type="dxa"/>
            <w:gridSpan w:val="2"/>
            <w:tcBorders>
              <w:top w:val="single" w:color="000000" w:sz="4" w:space="0"/>
              <w:left w:val="single" w:color="000000" w:sz="4" w:space="0"/>
              <w:bottom w:val="nil"/>
              <w:right w:val="single" w:color="000000" w:sz="4" w:space="0"/>
            </w:tcBorders>
            <w:shd w:val="clear" w:color="auto" w:fill="auto"/>
            <w:vAlign w:val="center"/>
          </w:tcPr>
          <w:p w14:paraId="72582E5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次</w:t>
            </w:r>
          </w:p>
        </w:tc>
        <w:tc>
          <w:tcPr>
            <w:tcW w:w="504" w:type="dxa"/>
            <w:tcBorders>
              <w:top w:val="single" w:color="000000" w:sz="4" w:space="0"/>
              <w:left w:val="single" w:color="000000" w:sz="4" w:space="0"/>
              <w:bottom w:val="nil"/>
              <w:right w:val="single" w:color="000000" w:sz="4" w:space="0"/>
            </w:tcBorders>
            <w:shd w:val="clear" w:color="auto" w:fill="auto"/>
            <w:vAlign w:val="center"/>
          </w:tcPr>
          <w:p w14:paraId="6DA8EF2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1.5</w:t>
            </w:r>
          </w:p>
        </w:tc>
        <w:tc>
          <w:tcPr>
            <w:tcW w:w="626" w:type="dxa"/>
            <w:gridSpan w:val="2"/>
            <w:tcBorders>
              <w:top w:val="single" w:color="000000" w:sz="4" w:space="0"/>
              <w:left w:val="single" w:color="000000" w:sz="4" w:space="0"/>
              <w:bottom w:val="nil"/>
              <w:right w:val="single" w:color="000000" w:sz="4" w:space="0"/>
            </w:tcBorders>
            <w:shd w:val="clear" w:color="auto" w:fill="auto"/>
            <w:vAlign w:val="center"/>
          </w:tcPr>
          <w:p w14:paraId="15EE939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1.5</w:t>
            </w:r>
          </w:p>
        </w:tc>
        <w:tc>
          <w:tcPr>
            <w:tcW w:w="2200" w:type="dxa"/>
            <w:tcBorders>
              <w:top w:val="single" w:color="000000" w:sz="4" w:space="0"/>
              <w:left w:val="single" w:color="000000" w:sz="4" w:space="0"/>
              <w:bottom w:val="nil"/>
              <w:right w:val="single" w:color="000000" w:sz="4" w:space="0"/>
            </w:tcBorders>
            <w:shd w:val="clear" w:color="auto" w:fill="auto"/>
            <w:vAlign w:val="center"/>
          </w:tcPr>
          <w:p w14:paraId="70A10058">
            <w:pPr>
              <w:jc w:val="center"/>
              <w:rPr>
                <w:rFonts w:hint="eastAsia" w:ascii="宋体" w:hAnsi="宋体" w:eastAsia="宋体" w:cs="宋体"/>
                <w:i w:val="0"/>
                <w:iCs w:val="0"/>
                <w:color w:val="000000"/>
                <w:sz w:val="18"/>
                <w:szCs w:val="18"/>
                <w:u w:val="none" w:color="auto"/>
              </w:rPr>
            </w:pPr>
          </w:p>
        </w:tc>
      </w:tr>
      <w:tr w14:paraId="196EF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15" w:type="dxa"/>
          <w:wAfter w:w="30" w:type="dxa"/>
          <w:trHeight w:val="840" w:hRule="atLeast"/>
        </w:trPr>
        <w:tc>
          <w:tcPr>
            <w:tcW w:w="1948" w:type="dxa"/>
            <w:gridSpan w:val="4"/>
            <w:vMerge w:val="continue"/>
            <w:tcBorders>
              <w:top w:val="single" w:color="000000" w:sz="4" w:space="0"/>
              <w:left w:val="single" w:color="000000" w:sz="4" w:space="0"/>
              <w:bottom w:val="nil"/>
              <w:right w:val="single" w:color="000000" w:sz="4" w:space="0"/>
            </w:tcBorders>
            <w:shd w:val="clear" w:color="auto" w:fill="auto"/>
            <w:vAlign w:val="center"/>
          </w:tcPr>
          <w:p w14:paraId="0F24D73B">
            <w:pPr>
              <w:jc w:val="center"/>
              <w:rPr>
                <w:rFonts w:hint="eastAsia" w:ascii="宋体" w:hAnsi="宋体" w:eastAsia="宋体" w:cs="宋体"/>
                <w:i w:val="0"/>
                <w:iCs w:val="0"/>
                <w:color w:val="000000"/>
                <w:sz w:val="18"/>
                <w:szCs w:val="18"/>
                <w:u w:val="none" w:color="auto"/>
              </w:rPr>
            </w:pPr>
          </w:p>
        </w:tc>
        <w:tc>
          <w:tcPr>
            <w:tcW w:w="1070" w:type="dxa"/>
            <w:vMerge w:val="continue"/>
            <w:tcBorders>
              <w:top w:val="single" w:color="000000" w:sz="4" w:space="0"/>
              <w:left w:val="single" w:color="000000" w:sz="4" w:space="0"/>
              <w:bottom w:val="nil"/>
              <w:right w:val="single" w:color="000000" w:sz="4" w:space="0"/>
            </w:tcBorders>
            <w:shd w:val="clear" w:color="auto" w:fill="auto"/>
            <w:vAlign w:val="center"/>
          </w:tcPr>
          <w:p w14:paraId="350AB758">
            <w:pPr>
              <w:jc w:val="center"/>
              <w:rPr>
                <w:rFonts w:hint="eastAsia" w:ascii="宋体" w:hAnsi="宋体" w:eastAsia="宋体" w:cs="宋体"/>
                <w:i w:val="0"/>
                <w:iCs w:val="0"/>
                <w:color w:val="000000"/>
                <w:sz w:val="18"/>
                <w:szCs w:val="18"/>
                <w:u w:val="none" w:color="auto"/>
              </w:rPr>
            </w:pPr>
          </w:p>
        </w:tc>
        <w:tc>
          <w:tcPr>
            <w:tcW w:w="707"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5B90AEFC">
            <w:pPr>
              <w:jc w:val="center"/>
              <w:rPr>
                <w:rFonts w:hint="eastAsia" w:ascii="宋体" w:hAnsi="宋体" w:eastAsia="宋体" w:cs="宋体"/>
                <w:i w:val="0"/>
                <w:iCs w:val="0"/>
                <w:color w:val="000000"/>
                <w:sz w:val="18"/>
                <w:szCs w:val="18"/>
                <w:u w:val="none" w:color="auto"/>
              </w:rPr>
            </w:pPr>
          </w:p>
        </w:tc>
        <w:tc>
          <w:tcPr>
            <w:tcW w:w="788" w:type="dxa"/>
            <w:gridSpan w:val="3"/>
            <w:tcBorders>
              <w:top w:val="single" w:color="000000" w:sz="4" w:space="0"/>
              <w:left w:val="single" w:color="000000" w:sz="4" w:space="0"/>
              <w:bottom w:val="nil"/>
              <w:right w:val="single" w:color="000000" w:sz="4" w:space="0"/>
            </w:tcBorders>
            <w:shd w:val="clear" w:color="auto" w:fill="auto"/>
            <w:vAlign w:val="center"/>
          </w:tcPr>
          <w:p w14:paraId="1106AC4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专业技术资格考试报考人数</w:t>
            </w:r>
          </w:p>
        </w:tc>
        <w:tc>
          <w:tcPr>
            <w:tcW w:w="474" w:type="dxa"/>
            <w:tcBorders>
              <w:top w:val="single" w:color="000000" w:sz="4" w:space="0"/>
              <w:left w:val="single" w:color="000000" w:sz="4" w:space="0"/>
              <w:bottom w:val="nil"/>
              <w:right w:val="single" w:color="000000" w:sz="4" w:space="0"/>
            </w:tcBorders>
            <w:shd w:val="clear" w:color="auto" w:fill="auto"/>
            <w:vAlign w:val="center"/>
          </w:tcPr>
          <w:p w14:paraId="33D55F8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474" w:type="dxa"/>
            <w:gridSpan w:val="2"/>
            <w:tcBorders>
              <w:top w:val="single" w:color="000000" w:sz="4" w:space="0"/>
              <w:left w:val="single" w:color="000000" w:sz="4" w:space="0"/>
              <w:bottom w:val="nil"/>
              <w:right w:val="single" w:color="000000" w:sz="4" w:space="0"/>
            </w:tcBorders>
            <w:shd w:val="clear" w:color="auto" w:fill="auto"/>
            <w:vAlign w:val="center"/>
          </w:tcPr>
          <w:p w14:paraId="10F4E98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大于等于</w:t>
            </w:r>
          </w:p>
        </w:tc>
        <w:tc>
          <w:tcPr>
            <w:tcW w:w="700" w:type="dxa"/>
            <w:gridSpan w:val="2"/>
            <w:tcBorders>
              <w:top w:val="single" w:color="000000" w:sz="4" w:space="0"/>
              <w:left w:val="single" w:color="000000" w:sz="4" w:space="0"/>
              <w:bottom w:val="nil"/>
              <w:right w:val="single" w:color="000000" w:sz="4" w:space="0"/>
            </w:tcBorders>
            <w:shd w:val="clear" w:color="auto" w:fill="auto"/>
            <w:vAlign w:val="center"/>
          </w:tcPr>
          <w:p w14:paraId="3B3CD9B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1500</w:t>
            </w:r>
          </w:p>
        </w:tc>
        <w:tc>
          <w:tcPr>
            <w:tcW w:w="739" w:type="dxa"/>
            <w:gridSpan w:val="2"/>
            <w:tcBorders>
              <w:top w:val="single" w:color="000000" w:sz="4" w:space="0"/>
              <w:left w:val="single" w:color="000000" w:sz="4" w:space="0"/>
              <w:bottom w:val="nil"/>
              <w:right w:val="single" w:color="000000" w:sz="4" w:space="0"/>
            </w:tcBorders>
            <w:shd w:val="clear" w:color="auto" w:fill="auto"/>
            <w:vAlign w:val="center"/>
          </w:tcPr>
          <w:p w14:paraId="0E7258FA">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1500</w:t>
            </w:r>
          </w:p>
        </w:tc>
        <w:tc>
          <w:tcPr>
            <w:tcW w:w="645" w:type="dxa"/>
            <w:gridSpan w:val="2"/>
            <w:tcBorders>
              <w:top w:val="single" w:color="000000" w:sz="4" w:space="0"/>
              <w:left w:val="single" w:color="000000" w:sz="4" w:space="0"/>
              <w:bottom w:val="nil"/>
              <w:right w:val="single" w:color="000000" w:sz="4" w:space="0"/>
            </w:tcBorders>
            <w:shd w:val="clear" w:color="auto" w:fill="auto"/>
            <w:vAlign w:val="center"/>
          </w:tcPr>
          <w:p w14:paraId="6F1DFD7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人</w:t>
            </w:r>
          </w:p>
        </w:tc>
        <w:tc>
          <w:tcPr>
            <w:tcW w:w="504" w:type="dxa"/>
            <w:tcBorders>
              <w:top w:val="single" w:color="000000" w:sz="4" w:space="0"/>
              <w:left w:val="single" w:color="000000" w:sz="4" w:space="0"/>
              <w:bottom w:val="nil"/>
              <w:right w:val="single" w:color="000000" w:sz="4" w:space="0"/>
            </w:tcBorders>
            <w:shd w:val="clear" w:color="auto" w:fill="auto"/>
            <w:vAlign w:val="center"/>
          </w:tcPr>
          <w:p w14:paraId="3C1E091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1.5</w:t>
            </w:r>
          </w:p>
        </w:tc>
        <w:tc>
          <w:tcPr>
            <w:tcW w:w="626" w:type="dxa"/>
            <w:gridSpan w:val="2"/>
            <w:tcBorders>
              <w:top w:val="single" w:color="000000" w:sz="4" w:space="0"/>
              <w:left w:val="single" w:color="000000" w:sz="4" w:space="0"/>
              <w:bottom w:val="nil"/>
              <w:right w:val="single" w:color="000000" w:sz="4" w:space="0"/>
            </w:tcBorders>
            <w:shd w:val="clear" w:color="auto" w:fill="auto"/>
            <w:vAlign w:val="center"/>
          </w:tcPr>
          <w:p w14:paraId="4ECA2E16">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1.5</w:t>
            </w:r>
          </w:p>
        </w:tc>
        <w:tc>
          <w:tcPr>
            <w:tcW w:w="2200" w:type="dxa"/>
            <w:tcBorders>
              <w:top w:val="single" w:color="000000" w:sz="4" w:space="0"/>
              <w:left w:val="single" w:color="000000" w:sz="4" w:space="0"/>
              <w:bottom w:val="nil"/>
              <w:right w:val="single" w:color="000000" w:sz="4" w:space="0"/>
            </w:tcBorders>
            <w:shd w:val="clear" w:color="auto" w:fill="auto"/>
            <w:vAlign w:val="center"/>
          </w:tcPr>
          <w:p w14:paraId="464D6C7E">
            <w:pPr>
              <w:jc w:val="center"/>
              <w:rPr>
                <w:rFonts w:hint="eastAsia" w:ascii="宋体" w:hAnsi="宋体" w:eastAsia="宋体" w:cs="宋体"/>
                <w:i w:val="0"/>
                <w:iCs w:val="0"/>
                <w:color w:val="000000"/>
                <w:sz w:val="18"/>
                <w:szCs w:val="18"/>
                <w:u w:val="none" w:color="auto"/>
              </w:rPr>
            </w:pPr>
          </w:p>
        </w:tc>
      </w:tr>
      <w:tr w14:paraId="1C58F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15" w:type="dxa"/>
          <w:wAfter w:w="30" w:type="dxa"/>
          <w:trHeight w:val="840" w:hRule="atLeast"/>
        </w:trPr>
        <w:tc>
          <w:tcPr>
            <w:tcW w:w="1948" w:type="dxa"/>
            <w:gridSpan w:val="4"/>
            <w:vMerge w:val="continue"/>
            <w:tcBorders>
              <w:top w:val="single" w:color="000000" w:sz="4" w:space="0"/>
              <w:left w:val="single" w:color="000000" w:sz="4" w:space="0"/>
              <w:bottom w:val="nil"/>
              <w:right w:val="single" w:color="000000" w:sz="4" w:space="0"/>
            </w:tcBorders>
            <w:shd w:val="clear" w:color="auto" w:fill="auto"/>
            <w:vAlign w:val="center"/>
          </w:tcPr>
          <w:p w14:paraId="3D908C43">
            <w:pPr>
              <w:jc w:val="center"/>
              <w:rPr>
                <w:rFonts w:hint="eastAsia" w:ascii="宋体" w:hAnsi="宋体" w:eastAsia="宋体" w:cs="宋体"/>
                <w:i w:val="0"/>
                <w:iCs w:val="0"/>
                <w:color w:val="000000"/>
                <w:sz w:val="18"/>
                <w:szCs w:val="18"/>
                <w:u w:val="none" w:color="auto"/>
              </w:rPr>
            </w:pPr>
          </w:p>
        </w:tc>
        <w:tc>
          <w:tcPr>
            <w:tcW w:w="1070" w:type="dxa"/>
            <w:vMerge w:val="continue"/>
            <w:tcBorders>
              <w:top w:val="single" w:color="000000" w:sz="4" w:space="0"/>
              <w:left w:val="single" w:color="000000" w:sz="4" w:space="0"/>
              <w:bottom w:val="nil"/>
              <w:right w:val="single" w:color="000000" w:sz="4" w:space="0"/>
            </w:tcBorders>
            <w:shd w:val="clear" w:color="auto" w:fill="auto"/>
            <w:vAlign w:val="center"/>
          </w:tcPr>
          <w:p w14:paraId="6FA8C097">
            <w:pPr>
              <w:jc w:val="center"/>
              <w:rPr>
                <w:rFonts w:hint="eastAsia" w:ascii="宋体" w:hAnsi="宋体" w:eastAsia="宋体" w:cs="宋体"/>
                <w:i w:val="0"/>
                <w:iCs w:val="0"/>
                <w:color w:val="000000"/>
                <w:sz w:val="18"/>
                <w:szCs w:val="18"/>
                <w:u w:val="none" w:color="auto"/>
              </w:rPr>
            </w:pPr>
          </w:p>
        </w:tc>
        <w:tc>
          <w:tcPr>
            <w:tcW w:w="707"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7ED07D1E">
            <w:pPr>
              <w:jc w:val="center"/>
              <w:rPr>
                <w:rFonts w:hint="eastAsia" w:ascii="宋体" w:hAnsi="宋体" w:eastAsia="宋体" w:cs="宋体"/>
                <w:i w:val="0"/>
                <w:iCs w:val="0"/>
                <w:color w:val="000000"/>
                <w:sz w:val="18"/>
                <w:szCs w:val="18"/>
                <w:u w:val="none" w:color="auto"/>
              </w:rPr>
            </w:pPr>
          </w:p>
        </w:tc>
        <w:tc>
          <w:tcPr>
            <w:tcW w:w="788" w:type="dxa"/>
            <w:gridSpan w:val="3"/>
            <w:tcBorders>
              <w:top w:val="single" w:color="000000" w:sz="4" w:space="0"/>
              <w:left w:val="single" w:color="000000" w:sz="4" w:space="0"/>
              <w:bottom w:val="nil"/>
              <w:right w:val="single" w:color="000000" w:sz="4" w:space="0"/>
            </w:tcBorders>
            <w:shd w:val="clear" w:color="auto" w:fill="auto"/>
            <w:vAlign w:val="center"/>
          </w:tcPr>
          <w:p w14:paraId="2034E78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专业技术资格考试业务人员培训次数</w:t>
            </w:r>
          </w:p>
        </w:tc>
        <w:tc>
          <w:tcPr>
            <w:tcW w:w="474" w:type="dxa"/>
            <w:tcBorders>
              <w:top w:val="single" w:color="000000" w:sz="4" w:space="0"/>
              <w:left w:val="single" w:color="000000" w:sz="4" w:space="0"/>
              <w:bottom w:val="nil"/>
              <w:right w:val="single" w:color="000000" w:sz="4" w:space="0"/>
            </w:tcBorders>
            <w:shd w:val="clear" w:color="auto" w:fill="auto"/>
            <w:vAlign w:val="center"/>
          </w:tcPr>
          <w:p w14:paraId="41903E4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474" w:type="dxa"/>
            <w:gridSpan w:val="2"/>
            <w:tcBorders>
              <w:top w:val="single" w:color="000000" w:sz="4" w:space="0"/>
              <w:left w:val="single" w:color="000000" w:sz="4" w:space="0"/>
              <w:bottom w:val="nil"/>
              <w:right w:val="single" w:color="000000" w:sz="4" w:space="0"/>
            </w:tcBorders>
            <w:shd w:val="clear" w:color="auto" w:fill="auto"/>
            <w:vAlign w:val="center"/>
          </w:tcPr>
          <w:p w14:paraId="584BAFC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大于等于</w:t>
            </w:r>
          </w:p>
        </w:tc>
        <w:tc>
          <w:tcPr>
            <w:tcW w:w="700" w:type="dxa"/>
            <w:gridSpan w:val="2"/>
            <w:tcBorders>
              <w:top w:val="single" w:color="000000" w:sz="4" w:space="0"/>
              <w:left w:val="single" w:color="000000" w:sz="4" w:space="0"/>
              <w:bottom w:val="nil"/>
              <w:right w:val="single" w:color="000000" w:sz="4" w:space="0"/>
            </w:tcBorders>
            <w:shd w:val="clear" w:color="auto" w:fill="auto"/>
            <w:vAlign w:val="center"/>
          </w:tcPr>
          <w:p w14:paraId="6A3F3D1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8</w:t>
            </w:r>
          </w:p>
        </w:tc>
        <w:tc>
          <w:tcPr>
            <w:tcW w:w="739" w:type="dxa"/>
            <w:gridSpan w:val="2"/>
            <w:tcBorders>
              <w:top w:val="single" w:color="000000" w:sz="4" w:space="0"/>
              <w:left w:val="single" w:color="000000" w:sz="4" w:space="0"/>
              <w:bottom w:val="nil"/>
              <w:right w:val="single" w:color="000000" w:sz="4" w:space="0"/>
            </w:tcBorders>
            <w:shd w:val="clear" w:color="auto" w:fill="auto"/>
            <w:vAlign w:val="center"/>
          </w:tcPr>
          <w:p w14:paraId="3DDDA26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8</w:t>
            </w:r>
          </w:p>
        </w:tc>
        <w:tc>
          <w:tcPr>
            <w:tcW w:w="645" w:type="dxa"/>
            <w:gridSpan w:val="2"/>
            <w:tcBorders>
              <w:top w:val="single" w:color="000000" w:sz="4" w:space="0"/>
              <w:left w:val="single" w:color="000000" w:sz="4" w:space="0"/>
              <w:bottom w:val="nil"/>
              <w:right w:val="single" w:color="000000" w:sz="4" w:space="0"/>
            </w:tcBorders>
            <w:shd w:val="clear" w:color="auto" w:fill="auto"/>
            <w:vAlign w:val="center"/>
          </w:tcPr>
          <w:p w14:paraId="6142F24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次</w:t>
            </w:r>
          </w:p>
        </w:tc>
        <w:tc>
          <w:tcPr>
            <w:tcW w:w="504" w:type="dxa"/>
            <w:tcBorders>
              <w:top w:val="single" w:color="000000" w:sz="4" w:space="0"/>
              <w:left w:val="single" w:color="000000" w:sz="4" w:space="0"/>
              <w:bottom w:val="nil"/>
              <w:right w:val="single" w:color="000000" w:sz="4" w:space="0"/>
            </w:tcBorders>
            <w:shd w:val="clear" w:color="auto" w:fill="auto"/>
            <w:vAlign w:val="center"/>
          </w:tcPr>
          <w:p w14:paraId="4B0EB7A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1.5</w:t>
            </w:r>
          </w:p>
        </w:tc>
        <w:tc>
          <w:tcPr>
            <w:tcW w:w="626" w:type="dxa"/>
            <w:gridSpan w:val="2"/>
            <w:tcBorders>
              <w:top w:val="single" w:color="000000" w:sz="4" w:space="0"/>
              <w:left w:val="single" w:color="000000" w:sz="4" w:space="0"/>
              <w:bottom w:val="nil"/>
              <w:right w:val="single" w:color="000000" w:sz="4" w:space="0"/>
            </w:tcBorders>
            <w:shd w:val="clear" w:color="auto" w:fill="auto"/>
            <w:vAlign w:val="center"/>
          </w:tcPr>
          <w:p w14:paraId="06FC721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1.5</w:t>
            </w:r>
          </w:p>
        </w:tc>
        <w:tc>
          <w:tcPr>
            <w:tcW w:w="2200" w:type="dxa"/>
            <w:tcBorders>
              <w:top w:val="single" w:color="000000" w:sz="4" w:space="0"/>
              <w:left w:val="single" w:color="000000" w:sz="4" w:space="0"/>
              <w:bottom w:val="nil"/>
              <w:right w:val="single" w:color="000000" w:sz="4" w:space="0"/>
            </w:tcBorders>
            <w:shd w:val="clear" w:color="auto" w:fill="auto"/>
            <w:vAlign w:val="center"/>
          </w:tcPr>
          <w:p w14:paraId="31955AF5">
            <w:pPr>
              <w:jc w:val="center"/>
              <w:rPr>
                <w:rFonts w:hint="eastAsia" w:ascii="宋体" w:hAnsi="宋体" w:eastAsia="宋体" w:cs="宋体"/>
                <w:i w:val="0"/>
                <w:iCs w:val="0"/>
                <w:color w:val="000000"/>
                <w:sz w:val="18"/>
                <w:szCs w:val="18"/>
                <w:u w:val="none" w:color="auto"/>
              </w:rPr>
            </w:pPr>
          </w:p>
        </w:tc>
      </w:tr>
      <w:tr w14:paraId="54440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15" w:type="dxa"/>
          <w:wAfter w:w="30" w:type="dxa"/>
          <w:trHeight w:val="840" w:hRule="atLeast"/>
        </w:trPr>
        <w:tc>
          <w:tcPr>
            <w:tcW w:w="1948" w:type="dxa"/>
            <w:gridSpan w:val="4"/>
            <w:vMerge w:val="continue"/>
            <w:tcBorders>
              <w:top w:val="single" w:color="000000" w:sz="4" w:space="0"/>
              <w:left w:val="single" w:color="000000" w:sz="4" w:space="0"/>
              <w:bottom w:val="nil"/>
              <w:right w:val="single" w:color="000000" w:sz="4" w:space="0"/>
            </w:tcBorders>
            <w:shd w:val="clear" w:color="auto" w:fill="auto"/>
            <w:vAlign w:val="center"/>
          </w:tcPr>
          <w:p w14:paraId="50935F04">
            <w:pPr>
              <w:jc w:val="center"/>
              <w:rPr>
                <w:rFonts w:hint="eastAsia" w:ascii="宋体" w:hAnsi="宋体" w:eastAsia="宋体" w:cs="宋体"/>
                <w:i w:val="0"/>
                <w:iCs w:val="0"/>
                <w:color w:val="000000"/>
                <w:sz w:val="18"/>
                <w:szCs w:val="18"/>
                <w:u w:val="none" w:color="auto"/>
              </w:rPr>
            </w:pPr>
          </w:p>
        </w:tc>
        <w:tc>
          <w:tcPr>
            <w:tcW w:w="1070" w:type="dxa"/>
            <w:vMerge w:val="continue"/>
            <w:tcBorders>
              <w:top w:val="single" w:color="000000" w:sz="4" w:space="0"/>
              <w:left w:val="single" w:color="000000" w:sz="4" w:space="0"/>
              <w:bottom w:val="nil"/>
              <w:right w:val="single" w:color="000000" w:sz="4" w:space="0"/>
            </w:tcBorders>
            <w:shd w:val="clear" w:color="auto" w:fill="auto"/>
            <w:vAlign w:val="center"/>
          </w:tcPr>
          <w:p w14:paraId="47C63C7A">
            <w:pPr>
              <w:jc w:val="center"/>
              <w:rPr>
                <w:rFonts w:hint="eastAsia" w:ascii="宋体" w:hAnsi="宋体" w:eastAsia="宋体" w:cs="宋体"/>
                <w:i w:val="0"/>
                <w:iCs w:val="0"/>
                <w:color w:val="000000"/>
                <w:sz w:val="18"/>
                <w:szCs w:val="18"/>
                <w:u w:val="none" w:color="auto"/>
              </w:rPr>
            </w:pPr>
          </w:p>
        </w:tc>
        <w:tc>
          <w:tcPr>
            <w:tcW w:w="707"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695D41B7">
            <w:pPr>
              <w:jc w:val="center"/>
              <w:rPr>
                <w:rFonts w:hint="eastAsia" w:ascii="宋体" w:hAnsi="宋体" w:eastAsia="宋体" w:cs="宋体"/>
                <w:i w:val="0"/>
                <w:iCs w:val="0"/>
                <w:color w:val="000000"/>
                <w:sz w:val="18"/>
                <w:szCs w:val="18"/>
                <w:u w:val="none" w:color="auto"/>
              </w:rPr>
            </w:pPr>
          </w:p>
        </w:tc>
        <w:tc>
          <w:tcPr>
            <w:tcW w:w="788" w:type="dxa"/>
            <w:gridSpan w:val="3"/>
            <w:tcBorders>
              <w:top w:val="single" w:color="000000" w:sz="4" w:space="0"/>
              <w:left w:val="single" w:color="000000" w:sz="4" w:space="0"/>
              <w:bottom w:val="nil"/>
              <w:right w:val="single" w:color="000000" w:sz="4" w:space="0"/>
            </w:tcBorders>
            <w:shd w:val="clear" w:color="auto" w:fill="auto"/>
            <w:vAlign w:val="center"/>
          </w:tcPr>
          <w:p w14:paraId="0725A64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专业技术资格考试业务人员培训人数</w:t>
            </w:r>
          </w:p>
        </w:tc>
        <w:tc>
          <w:tcPr>
            <w:tcW w:w="474" w:type="dxa"/>
            <w:tcBorders>
              <w:top w:val="single" w:color="000000" w:sz="4" w:space="0"/>
              <w:left w:val="single" w:color="000000" w:sz="4" w:space="0"/>
              <w:bottom w:val="nil"/>
              <w:right w:val="single" w:color="000000" w:sz="4" w:space="0"/>
            </w:tcBorders>
            <w:shd w:val="clear" w:color="auto" w:fill="auto"/>
            <w:vAlign w:val="center"/>
          </w:tcPr>
          <w:p w14:paraId="2C08800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474" w:type="dxa"/>
            <w:gridSpan w:val="2"/>
            <w:tcBorders>
              <w:top w:val="single" w:color="000000" w:sz="4" w:space="0"/>
              <w:left w:val="single" w:color="000000" w:sz="4" w:space="0"/>
              <w:bottom w:val="nil"/>
              <w:right w:val="single" w:color="000000" w:sz="4" w:space="0"/>
            </w:tcBorders>
            <w:shd w:val="clear" w:color="auto" w:fill="auto"/>
            <w:vAlign w:val="center"/>
          </w:tcPr>
          <w:p w14:paraId="238D538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大于等于</w:t>
            </w:r>
          </w:p>
        </w:tc>
        <w:tc>
          <w:tcPr>
            <w:tcW w:w="700" w:type="dxa"/>
            <w:gridSpan w:val="2"/>
            <w:tcBorders>
              <w:top w:val="single" w:color="000000" w:sz="4" w:space="0"/>
              <w:left w:val="single" w:color="000000" w:sz="4" w:space="0"/>
              <w:bottom w:val="nil"/>
              <w:right w:val="single" w:color="000000" w:sz="4" w:space="0"/>
            </w:tcBorders>
            <w:shd w:val="clear" w:color="auto" w:fill="auto"/>
            <w:vAlign w:val="center"/>
          </w:tcPr>
          <w:p w14:paraId="31A895F1">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285</w:t>
            </w:r>
          </w:p>
        </w:tc>
        <w:tc>
          <w:tcPr>
            <w:tcW w:w="739" w:type="dxa"/>
            <w:gridSpan w:val="2"/>
            <w:tcBorders>
              <w:top w:val="single" w:color="000000" w:sz="4" w:space="0"/>
              <w:left w:val="single" w:color="000000" w:sz="4" w:space="0"/>
              <w:bottom w:val="nil"/>
              <w:right w:val="single" w:color="000000" w:sz="4" w:space="0"/>
            </w:tcBorders>
            <w:shd w:val="clear" w:color="auto" w:fill="auto"/>
            <w:vAlign w:val="center"/>
          </w:tcPr>
          <w:p w14:paraId="6EC4413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285</w:t>
            </w:r>
          </w:p>
        </w:tc>
        <w:tc>
          <w:tcPr>
            <w:tcW w:w="645" w:type="dxa"/>
            <w:gridSpan w:val="2"/>
            <w:tcBorders>
              <w:top w:val="single" w:color="000000" w:sz="4" w:space="0"/>
              <w:left w:val="single" w:color="000000" w:sz="4" w:space="0"/>
              <w:bottom w:val="nil"/>
              <w:right w:val="single" w:color="000000" w:sz="4" w:space="0"/>
            </w:tcBorders>
            <w:shd w:val="clear" w:color="auto" w:fill="auto"/>
            <w:vAlign w:val="center"/>
          </w:tcPr>
          <w:p w14:paraId="1A59A381">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人</w:t>
            </w:r>
          </w:p>
        </w:tc>
        <w:tc>
          <w:tcPr>
            <w:tcW w:w="504" w:type="dxa"/>
            <w:tcBorders>
              <w:top w:val="single" w:color="000000" w:sz="4" w:space="0"/>
              <w:left w:val="single" w:color="000000" w:sz="4" w:space="0"/>
              <w:bottom w:val="nil"/>
              <w:right w:val="single" w:color="000000" w:sz="4" w:space="0"/>
            </w:tcBorders>
            <w:shd w:val="clear" w:color="auto" w:fill="auto"/>
            <w:vAlign w:val="center"/>
          </w:tcPr>
          <w:p w14:paraId="1DD2C80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1.5</w:t>
            </w:r>
          </w:p>
        </w:tc>
        <w:tc>
          <w:tcPr>
            <w:tcW w:w="626" w:type="dxa"/>
            <w:gridSpan w:val="2"/>
            <w:tcBorders>
              <w:top w:val="single" w:color="000000" w:sz="4" w:space="0"/>
              <w:left w:val="single" w:color="000000" w:sz="4" w:space="0"/>
              <w:bottom w:val="nil"/>
              <w:right w:val="single" w:color="000000" w:sz="4" w:space="0"/>
            </w:tcBorders>
            <w:shd w:val="clear" w:color="auto" w:fill="auto"/>
            <w:vAlign w:val="center"/>
          </w:tcPr>
          <w:p w14:paraId="5B6099F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1.5</w:t>
            </w:r>
          </w:p>
        </w:tc>
        <w:tc>
          <w:tcPr>
            <w:tcW w:w="2200" w:type="dxa"/>
            <w:tcBorders>
              <w:top w:val="single" w:color="000000" w:sz="4" w:space="0"/>
              <w:left w:val="single" w:color="000000" w:sz="4" w:space="0"/>
              <w:bottom w:val="nil"/>
              <w:right w:val="single" w:color="000000" w:sz="4" w:space="0"/>
            </w:tcBorders>
            <w:shd w:val="clear" w:color="auto" w:fill="auto"/>
            <w:vAlign w:val="center"/>
          </w:tcPr>
          <w:p w14:paraId="28D28A7A">
            <w:pPr>
              <w:jc w:val="center"/>
              <w:rPr>
                <w:rFonts w:hint="eastAsia" w:ascii="宋体" w:hAnsi="宋体" w:eastAsia="宋体" w:cs="宋体"/>
                <w:i w:val="0"/>
                <w:iCs w:val="0"/>
                <w:color w:val="000000"/>
                <w:sz w:val="18"/>
                <w:szCs w:val="18"/>
                <w:u w:val="none" w:color="auto"/>
              </w:rPr>
            </w:pPr>
          </w:p>
        </w:tc>
      </w:tr>
      <w:tr w14:paraId="308AE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15" w:type="dxa"/>
          <w:wAfter w:w="30" w:type="dxa"/>
          <w:trHeight w:val="840" w:hRule="atLeast"/>
        </w:trPr>
        <w:tc>
          <w:tcPr>
            <w:tcW w:w="1948" w:type="dxa"/>
            <w:gridSpan w:val="4"/>
            <w:vMerge w:val="continue"/>
            <w:tcBorders>
              <w:top w:val="single" w:color="000000" w:sz="4" w:space="0"/>
              <w:left w:val="single" w:color="000000" w:sz="4" w:space="0"/>
              <w:bottom w:val="nil"/>
              <w:right w:val="single" w:color="000000" w:sz="4" w:space="0"/>
            </w:tcBorders>
            <w:shd w:val="clear" w:color="auto" w:fill="auto"/>
            <w:vAlign w:val="center"/>
          </w:tcPr>
          <w:p w14:paraId="2EC34506">
            <w:pPr>
              <w:jc w:val="center"/>
              <w:rPr>
                <w:rFonts w:hint="eastAsia" w:ascii="宋体" w:hAnsi="宋体" w:eastAsia="宋体" w:cs="宋体"/>
                <w:i w:val="0"/>
                <w:iCs w:val="0"/>
                <w:color w:val="000000"/>
                <w:sz w:val="18"/>
                <w:szCs w:val="18"/>
                <w:u w:val="none" w:color="auto"/>
              </w:rPr>
            </w:pPr>
          </w:p>
        </w:tc>
        <w:tc>
          <w:tcPr>
            <w:tcW w:w="1070" w:type="dxa"/>
            <w:vMerge w:val="continue"/>
            <w:tcBorders>
              <w:top w:val="single" w:color="000000" w:sz="4" w:space="0"/>
              <w:left w:val="single" w:color="000000" w:sz="4" w:space="0"/>
              <w:bottom w:val="nil"/>
              <w:right w:val="single" w:color="000000" w:sz="4" w:space="0"/>
            </w:tcBorders>
            <w:shd w:val="clear" w:color="auto" w:fill="auto"/>
            <w:vAlign w:val="center"/>
          </w:tcPr>
          <w:p w14:paraId="541DEB91">
            <w:pPr>
              <w:jc w:val="center"/>
              <w:rPr>
                <w:rFonts w:hint="eastAsia" w:ascii="宋体" w:hAnsi="宋体" w:eastAsia="宋体" w:cs="宋体"/>
                <w:i w:val="0"/>
                <w:iCs w:val="0"/>
                <w:color w:val="000000"/>
                <w:sz w:val="18"/>
                <w:szCs w:val="18"/>
                <w:u w:val="none" w:color="auto"/>
              </w:rPr>
            </w:pPr>
          </w:p>
        </w:tc>
        <w:tc>
          <w:tcPr>
            <w:tcW w:w="707"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023A83B6">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质量指标</w:t>
            </w:r>
          </w:p>
        </w:tc>
        <w:tc>
          <w:tcPr>
            <w:tcW w:w="788" w:type="dxa"/>
            <w:gridSpan w:val="3"/>
            <w:tcBorders>
              <w:top w:val="single" w:color="000000" w:sz="4" w:space="0"/>
              <w:left w:val="single" w:color="000000" w:sz="4" w:space="0"/>
              <w:bottom w:val="nil"/>
              <w:right w:val="single" w:color="000000" w:sz="4" w:space="0"/>
            </w:tcBorders>
            <w:shd w:val="clear" w:color="auto" w:fill="auto"/>
            <w:vAlign w:val="center"/>
          </w:tcPr>
          <w:p w14:paraId="3D47A3C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考试组织完成率</w:t>
            </w:r>
          </w:p>
        </w:tc>
        <w:tc>
          <w:tcPr>
            <w:tcW w:w="474" w:type="dxa"/>
            <w:tcBorders>
              <w:top w:val="single" w:color="000000" w:sz="4" w:space="0"/>
              <w:left w:val="single" w:color="000000" w:sz="4" w:space="0"/>
              <w:bottom w:val="nil"/>
              <w:right w:val="single" w:color="000000" w:sz="4" w:space="0"/>
            </w:tcBorders>
            <w:shd w:val="clear" w:color="auto" w:fill="auto"/>
            <w:vAlign w:val="center"/>
          </w:tcPr>
          <w:p w14:paraId="03327066">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474" w:type="dxa"/>
            <w:gridSpan w:val="2"/>
            <w:tcBorders>
              <w:top w:val="single" w:color="000000" w:sz="4" w:space="0"/>
              <w:left w:val="single" w:color="000000" w:sz="4" w:space="0"/>
              <w:bottom w:val="nil"/>
              <w:right w:val="single" w:color="000000" w:sz="4" w:space="0"/>
            </w:tcBorders>
            <w:shd w:val="clear" w:color="auto" w:fill="auto"/>
            <w:vAlign w:val="center"/>
          </w:tcPr>
          <w:p w14:paraId="00CAE28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等于</w:t>
            </w:r>
          </w:p>
        </w:tc>
        <w:tc>
          <w:tcPr>
            <w:tcW w:w="700" w:type="dxa"/>
            <w:gridSpan w:val="2"/>
            <w:tcBorders>
              <w:top w:val="single" w:color="000000" w:sz="4" w:space="0"/>
              <w:left w:val="single" w:color="000000" w:sz="4" w:space="0"/>
              <w:bottom w:val="nil"/>
              <w:right w:val="single" w:color="000000" w:sz="4" w:space="0"/>
            </w:tcBorders>
            <w:shd w:val="clear" w:color="auto" w:fill="auto"/>
            <w:vAlign w:val="center"/>
          </w:tcPr>
          <w:p w14:paraId="361283A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100</w:t>
            </w:r>
          </w:p>
        </w:tc>
        <w:tc>
          <w:tcPr>
            <w:tcW w:w="739" w:type="dxa"/>
            <w:gridSpan w:val="2"/>
            <w:tcBorders>
              <w:top w:val="single" w:color="000000" w:sz="4" w:space="0"/>
              <w:left w:val="single" w:color="000000" w:sz="4" w:space="0"/>
              <w:bottom w:val="nil"/>
              <w:right w:val="single" w:color="000000" w:sz="4" w:space="0"/>
            </w:tcBorders>
            <w:shd w:val="clear" w:color="auto" w:fill="auto"/>
            <w:vAlign w:val="center"/>
          </w:tcPr>
          <w:p w14:paraId="26E6096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100</w:t>
            </w:r>
          </w:p>
        </w:tc>
        <w:tc>
          <w:tcPr>
            <w:tcW w:w="645" w:type="dxa"/>
            <w:gridSpan w:val="2"/>
            <w:tcBorders>
              <w:top w:val="single" w:color="000000" w:sz="4" w:space="0"/>
              <w:left w:val="single" w:color="000000" w:sz="4" w:space="0"/>
              <w:bottom w:val="nil"/>
              <w:right w:val="single" w:color="000000" w:sz="4" w:space="0"/>
            </w:tcBorders>
            <w:shd w:val="clear" w:color="auto" w:fill="auto"/>
            <w:vAlign w:val="center"/>
          </w:tcPr>
          <w:p w14:paraId="6565676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w:t>
            </w:r>
          </w:p>
        </w:tc>
        <w:tc>
          <w:tcPr>
            <w:tcW w:w="504" w:type="dxa"/>
            <w:tcBorders>
              <w:top w:val="single" w:color="000000" w:sz="4" w:space="0"/>
              <w:left w:val="single" w:color="000000" w:sz="4" w:space="0"/>
              <w:bottom w:val="nil"/>
              <w:right w:val="single" w:color="000000" w:sz="4" w:space="0"/>
            </w:tcBorders>
            <w:shd w:val="clear" w:color="auto" w:fill="auto"/>
            <w:vAlign w:val="center"/>
          </w:tcPr>
          <w:p w14:paraId="66FB326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626" w:type="dxa"/>
            <w:gridSpan w:val="2"/>
            <w:tcBorders>
              <w:top w:val="single" w:color="000000" w:sz="4" w:space="0"/>
              <w:left w:val="single" w:color="000000" w:sz="4" w:space="0"/>
              <w:bottom w:val="nil"/>
              <w:right w:val="single" w:color="000000" w:sz="4" w:space="0"/>
            </w:tcBorders>
            <w:shd w:val="clear" w:color="auto" w:fill="auto"/>
            <w:vAlign w:val="center"/>
          </w:tcPr>
          <w:p w14:paraId="692E26F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2200" w:type="dxa"/>
            <w:tcBorders>
              <w:top w:val="single" w:color="000000" w:sz="4" w:space="0"/>
              <w:left w:val="single" w:color="000000" w:sz="4" w:space="0"/>
              <w:bottom w:val="nil"/>
              <w:right w:val="single" w:color="000000" w:sz="4" w:space="0"/>
            </w:tcBorders>
            <w:shd w:val="clear" w:color="auto" w:fill="auto"/>
            <w:vAlign w:val="center"/>
          </w:tcPr>
          <w:p w14:paraId="5567A737">
            <w:pPr>
              <w:jc w:val="center"/>
              <w:rPr>
                <w:rFonts w:hint="eastAsia" w:ascii="宋体" w:hAnsi="宋体" w:eastAsia="宋体" w:cs="宋体"/>
                <w:i w:val="0"/>
                <w:iCs w:val="0"/>
                <w:color w:val="000000"/>
                <w:sz w:val="18"/>
                <w:szCs w:val="18"/>
                <w:u w:val="none" w:color="auto"/>
              </w:rPr>
            </w:pPr>
          </w:p>
        </w:tc>
      </w:tr>
      <w:tr w14:paraId="14DB6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15" w:type="dxa"/>
          <w:wAfter w:w="30" w:type="dxa"/>
          <w:trHeight w:val="840" w:hRule="atLeast"/>
        </w:trPr>
        <w:tc>
          <w:tcPr>
            <w:tcW w:w="1948" w:type="dxa"/>
            <w:gridSpan w:val="4"/>
            <w:vMerge w:val="continue"/>
            <w:tcBorders>
              <w:top w:val="single" w:color="000000" w:sz="4" w:space="0"/>
              <w:left w:val="single" w:color="000000" w:sz="4" w:space="0"/>
              <w:bottom w:val="nil"/>
              <w:right w:val="single" w:color="000000" w:sz="4" w:space="0"/>
            </w:tcBorders>
            <w:shd w:val="clear" w:color="auto" w:fill="auto"/>
            <w:vAlign w:val="center"/>
          </w:tcPr>
          <w:p w14:paraId="6AB0A33B">
            <w:pPr>
              <w:jc w:val="center"/>
              <w:rPr>
                <w:rFonts w:hint="eastAsia" w:ascii="宋体" w:hAnsi="宋体" w:eastAsia="宋体" w:cs="宋体"/>
                <w:i w:val="0"/>
                <w:iCs w:val="0"/>
                <w:color w:val="000000"/>
                <w:sz w:val="18"/>
                <w:szCs w:val="18"/>
                <w:u w:val="none" w:color="auto"/>
              </w:rPr>
            </w:pPr>
          </w:p>
        </w:tc>
        <w:tc>
          <w:tcPr>
            <w:tcW w:w="1070" w:type="dxa"/>
            <w:vMerge w:val="continue"/>
            <w:tcBorders>
              <w:top w:val="single" w:color="000000" w:sz="4" w:space="0"/>
              <w:left w:val="single" w:color="000000" w:sz="4" w:space="0"/>
              <w:bottom w:val="nil"/>
              <w:right w:val="single" w:color="000000" w:sz="4" w:space="0"/>
            </w:tcBorders>
            <w:shd w:val="clear" w:color="auto" w:fill="auto"/>
            <w:vAlign w:val="center"/>
          </w:tcPr>
          <w:p w14:paraId="0865A045">
            <w:pPr>
              <w:jc w:val="center"/>
              <w:rPr>
                <w:rFonts w:hint="eastAsia" w:ascii="宋体" w:hAnsi="宋体" w:eastAsia="宋体" w:cs="宋体"/>
                <w:i w:val="0"/>
                <w:iCs w:val="0"/>
                <w:color w:val="000000"/>
                <w:sz w:val="18"/>
                <w:szCs w:val="18"/>
                <w:u w:val="none" w:color="auto"/>
              </w:rPr>
            </w:pPr>
          </w:p>
        </w:tc>
        <w:tc>
          <w:tcPr>
            <w:tcW w:w="707"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0FE1F9B4">
            <w:pPr>
              <w:jc w:val="center"/>
              <w:rPr>
                <w:rFonts w:hint="eastAsia" w:ascii="宋体" w:hAnsi="宋体" w:eastAsia="宋体" w:cs="宋体"/>
                <w:i w:val="0"/>
                <w:iCs w:val="0"/>
                <w:color w:val="000000"/>
                <w:sz w:val="18"/>
                <w:szCs w:val="18"/>
                <w:u w:val="none" w:color="auto"/>
              </w:rPr>
            </w:pPr>
          </w:p>
        </w:tc>
        <w:tc>
          <w:tcPr>
            <w:tcW w:w="788" w:type="dxa"/>
            <w:gridSpan w:val="3"/>
            <w:tcBorders>
              <w:top w:val="single" w:color="000000" w:sz="4" w:space="0"/>
              <w:left w:val="single" w:color="000000" w:sz="4" w:space="0"/>
              <w:bottom w:val="nil"/>
              <w:right w:val="single" w:color="000000" w:sz="4" w:space="0"/>
            </w:tcBorders>
            <w:shd w:val="clear" w:color="auto" w:fill="auto"/>
            <w:vAlign w:val="center"/>
          </w:tcPr>
          <w:p w14:paraId="2E0225E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培训参与率</w:t>
            </w:r>
          </w:p>
        </w:tc>
        <w:tc>
          <w:tcPr>
            <w:tcW w:w="474" w:type="dxa"/>
            <w:tcBorders>
              <w:top w:val="single" w:color="000000" w:sz="4" w:space="0"/>
              <w:left w:val="single" w:color="000000" w:sz="4" w:space="0"/>
              <w:bottom w:val="nil"/>
              <w:right w:val="single" w:color="000000" w:sz="4" w:space="0"/>
            </w:tcBorders>
            <w:shd w:val="clear" w:color="auto" w:fill="auto"/>
            <w:vAlign w:val="center"/>
          </w:tcPr>
          <w:p w14:paraId="206EDA6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474" w:type="dxa"/>
            <w:gridSpan w:val="2"/>
            <w:tcBorders>
              <w:top w:val="single" w:color="000000" w:sz="4" w:space="0"/>
              <w:left w:val="single" w:color="000000" w:sz="4" w:space="0"/>
              <w:bottom w:val="nil"/>
              <w:right w:val="single" w:color="000000" w:sz="4" w:space="0"/>
            </w:tcBorders>
            <w:shd w:val="clear" w:color="auto" w:fill="auto"/>
            <w:vAlign w:val="center"/>
          </w:tcPr>
          <w:p w14:paraId="3B8A82C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等于</w:t>
            </w:r>
          </w:p>
        </w:tc>
        <w:tc>
          <w:tcPr>
            <w:tcW w:w="700" w:type="dxa"/>
            <w:gridSpan w:val="2"/>
            <w:tcBorders>
              <w:top w:val="single" w:color="000000" w:sz="4" w:space="0"/>
              <w:left w:val="single" w:color="000000" w:sz="4" w:space="0"/>
              <w:bottom w:val="nil"/>
              <w:right w:val="single" w:color="000000" w:sz="4" w:space="0"/>
            </w:tcBorders>
            <w:shd w:val="clear" w:color="auto" w:fill="auto"/>
            <w:vAlign w:val="center"/>
          </w:tcPr>
          <w:p w14:paraId="5F0DF96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100</w:t>
            </w:r>
          </w:p>
        </w:tc>
        <w:tc>
          <w:tcPr>
            <w:tcW w:w="739" w:type="dxa"/>
            <w:gridSpan w:val="2"/>
            <w:tcBorders>
              <w:top w:val="single" w:color="000000" w:sz="4" w:space="0"/>
              <w:left w:val="single" w:color="000000" w:sz="4" w:space="0"/>
              <w:bottom w:val="nil"/>
              <w:right w:val="single" w:color="000000" w:sz="4" w:space="0"/>
            </w:tcBorders>
            <w:shd w:val="clear" w:color="auto" w:fill="auto"/>
            <w:vAlign w:val="center"/>
          </w:tcPr>
          <w:p w14:paraId="4B07E7D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100</w:t>
            </w:r>
          </w:p>
        </w:tc>
        <w:tc>
          <w:tcPr>
            <w:tcW w:w="645" w:type="dxa"/>
            <w:gridSpan w:val="2"/>
            <w:tcBorders>
              <w:top w:val="single" w:color="000000" w:sz="4" w:space="0"/>
              <w:left w:val="single" w:color="000000" w:sz="4" w:space="0"/>
              <w:bottom w:val="nil"/>
              <w:right w:val="single" w:color="000000" w:sz="4" w:space="0"/>
            </w:tcBorders>
            <w:shd w:val="clear" w:color="auto" w:fill="auto"/>
            <w:vAlign w:val="center"/>
          </w:tcPr>
          <w:p w14:paraId="4E8850F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w:t>
            </w:r>
          </w:p>
        </w:tc>
        <w:tc>
          <w:tcPr>
            <w:tcW w:w="504" w:type="dxa"/>
            <w:tcBorders>
              <w:top w:val="single" w:color="000000" w:sz="4" w:space="0"/>
              <w:left w:val="single" w:color="000000" w:sz="4" w:space="0"/>
              <w:bottom w:val="nil"/>
              <w:right w:val="single" w:color="000000" w:sz="4" w:space="0"/>
            </w:tcBorders>
            <w:shd w:val="clear" w:color="auto" w:fill="auto"/>
            <w:vAlign w:val="center"/>
          </w:tcPr>
          <w:p w14:paraId="225E14C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626" w:type="dxa"/>
            <w:gridSpan w:val="2"/>
            <w:tcBorders>
              <w:top w:val="single" w:color="000000" w:sz="4" w:space="0"/>
              <w:left w:val="single" w:color="000000" w:sz="4" w:space="0"/>
              <w:bottom w:val="nil"/>
              <w:right w:val="single" w:color="000000" w:sz="4" w:space="0"/>
            </w:tcBorders>
            <w:shd w:val="clear" w:color="auto" w:fill="auto"/>
            <w:vAlign w:val="center"/>
          </w:tcPr>
          <w:p w14:paraId="2765FC9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2200" w:type="dxa"/>
            <w:tcBorders>
              <w:top w:val="single" w:color="000000" w:sz="4" w:space="0"/>
              <w:left w:val="single" w:color="000000" w:sz="4" w:space="0"/>
              <w:bottom w:val="nil"/>
              <w:right w:val="single" w:color="000000" w:sz="4" w:space="0"/>
            </w:tcBorders>
            <w:shd w:val="clear" w:color="auto" w:fill="auto"/>
            <w:vAlign w:val="center"/>
          </w:tcPr>
          <w:p w14:paraId="227ACD39">
            <w:pPr>
              <w:jc w:val="center"/>
              <w:rPr>
                <w:rFonts w:hint="eastAsia" w:ascii="宋体" w:hAnsi="宋体" w:eastAsia="宋体" w:cs="宋体"/>
                <w:i w:val="0"/>
                <w:iCs w:val="0"/>
                <w:color w:val="000000"/>
                <w:sz w:val="18"/>
                <w:szCs w:val="18"/>
                <w:u w:val="none" w:color="auto"/>
              </w:rPr>
            </w:pPr>
          </w:p>
        </w:tc>
      </w:tr>
      <w:tr w14:paraId="32BB0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15" w:type="dxa"/>
          <w:wAfter w:w="30" w:type="dxa"/>
          <w:trHeight w:val="840" w:hRule="atLeast"/>
        </w:trPr>
        <w:tc>
          <w:tcPr>
            <w:tcW w:w="1948" w:type="dxa"/>
            <w:gridSpan w:val="4"/>
            <w:vMerge w:val="continue"/>
            <w:tcBorders>
              <w:top w:val="single" w:color="000000" w:sz="4" w:space="0"/>
              <w:left w:val="single" w:color="000000" w:sz="4" w:space="0"/>
              <w:bottom w:val="nil"/>
              <w:right w:val="single" w:color="000000" w:sz="4" w:space="0"/>
            </w:tcBorders>
            <w:shd w:val="clear" w:color="auto" w:fill="auto"/>
            <w:vAlign w:val="center"/>
          </w:tcPr>
          <w:p w14:paraId="2D1B3F88">
            <w:pPr>
              <w:jc w:val="center"/>
              <w:rPr>
                <w:rFonts w:hint="eastAsia" w:ascii="宋体" w:hAnsi="宋体" w:eastAsia="宋体" w:cs="宋体"/>
                <w:i w:val="0"/>
                <w:iCs w:val="0"/>
                <w:color w:val="000000"/>
                <w:sz w:val="18"/>
                <w:szCs w:val="18"/>
                <w:u w:val="none" w:color="auto"/>
              </w:rPr>
            </w:pPr>
          </w:p>
        </w:tc>
        <w:tc>
          <w:tcPr>
            <w:tcW w:w="1070" w:type="dxa"/>
            <w:vMerge w:val="continue"/>
            <w:tcBorders>
              <w:top w:val="single" w:color="000000" w:sz="4" w:space="0"/>
              <w:left w:val="single" w:color="000000" w:sz="4" w:space="0"/>
              <w:bottom w:val="nil"/>
              <w:right w:val="single" w:color="000000" w:sz="4" w:space="0"/>
            </w:tcBorders>
            <w:shd w:val="clear" w:color="auto" w:fill="auto"/>
            <w:vAlign w:val="center"/>
          </w:tcPr>
          <w:p w14:paraId="7E8B321A">
            <w:pPr>
              <w:jc w:val="center"/>
              <w:rPr>
                <w:rFonts w:hint="eastAsia" w:ascii="宋体" w:hAnsi="宋体" w:eastAsia="宋体" w:cs="宋体"/>
                <w:i w:val="0"/>
                <w:iCs w:val="0"/>
                <w:color w:val="000000"/>
                <w:sz w:val="18"/>
                <w:szCs w:val="18"/>
                <w:u w:val="none" w:color="auto"/>
              </w:rPr>
            </w:pPr>
          </w:p>
        </w:tc>
        <w:tc>
          <w:tcPr>
            <w:tcW w:w="707"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1CE59CAE">
            <w:pPr>
              <w:jc w:val="center"/>
              <w:rPr>
                <w:rFonts w:hint="eastAsia" w:ascii="宋体" w:hAnsi="宋体" w:eastAsia="宋体" w:cs="宋体"/>
                <w:i w:val="0"/>
                <w:iCs w:val="0"/>
                <w:color w:val="000000"/>
                <w:sz w:val="18"/>
                <w:szCs w:val="18"/>
                <w:u w:val="none" w:color="auto"/>
              </w:rPr>
            </w:pPr>
          </w:p>
        </w:tc>
        <w:tc>
          <w:tcPr>
            <w:tcW w:w="788" w:type="dxa"/>
            <w:gridSpan w:val="3"/>
            <w:tcBorders>
              <w:top w:val="single" w:color="000000" w:sz="4" w:space="0"/>
              <w:left w:val="single" w:color="000000" w:sz="4" w:space="0"/>
              <w:bottom w:val="nil"/>
              <w:right w:val="single" w:color="000000" w:sz="4" w:space="0"/>
            </w:tcBorders>
            <w:shd w:val="clear" w:color="auto" w:fill="auto"/>
            <w:vAlign w:val="center"/>
          </w:tcPr>
          <w:p w14:paraId="5840DA21">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培训覆盖率</w:t>
            </w:r>
          </w:p>
        </w:tc>
        <w:tc>
          <w:tcPr>
            <w:tcW w:w="474" w:type="dxa"/>
            <w:tcBorders>
              <w:top w:val="single" w:color="000000" w:sz="4" w:space="0"/>
              <w:left w:val="single" w:color="000000" w:sz="4" w:space="0"/>
              <w:bottom w:val="nil"/>
              <w:right w:val="single" w:color="000000" w:sz="4" w:space="0"/>
            </w:tcBorders>
            <w:shd w:val="clear" w:color="auto" w:fill="auto"/>
            <w:vAlign w:val="center"/>
          </w:tcPr>
          <w:p w14:paraId="617EFDC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474" w:type="dxa"/>
            <w:gridSpan w:val="2"/>
            <w:tcBorders>
              <w:top w:val="single" w:color="000000" w:sz="4" w:space="0"/>
              <w:left w:val="single" w:color="000000" w:sz="4" w:space="0"/>
              <w:bottom w:val="nil"/>
              <w:right w:val="single" w:color="000000" w:sz="4" w:space="0"/>
            </w:tcBorders>
            <w:shd w:val="clear" w:color="auto" w:fill="auto"/>
            <w:vAlign w:val="center"/>
          </w:tcPr>
          <w:p w14:paraId="1D35558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等于</w:t>
            </w:r>
          </w:p>
        </w:tc>
        <w:tc>
          <w:tcPr>
            <w:tcW w:w="700" w:type="dxa"/>
            <w:gridSpan w:val="2"/>
            <w:tcBorders>
              <w:top w:val="single" w:color="000000" w:sz="4" w:space="0"/>
              <w:left w:val="single" w:color="000000" w:sz="4" w:space="0"/>
              <w:bottom w:val="nil"/>
              <w:right w:val="single" w:color="000000" w:sz="4" w:space="0"/>
            </w:tcBorders>
            <w:shd w:val="clear" w:color="auto" w:fill="auto"/>
            <w:vAlign w:val="center"/>
          </w:tcPr>
          <w:p w14:paraId="13279DD6">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100</w:t>
            </w:r>
          </w:p>
        </w:tc>
        <w:tc>
          <w:tcPr>
            <w:tcW w:w="739" w:type="dxa"/>
            <w:gridSpan w:val="2"/>
            <w:tcBorders>
              <w:top w:val="single" w:color="000000" w:sz="4" w:space="0"/>
              <w:left w:val="single" w:color="000000" w:sz="4" w:space="0"/>
              <w:bottom w:val="nil"/>
              <w:right w:val="single" w:color="000000" w:sz="4" w:space="0"/>
            </w:tcBorders>
            <w:shd w:val="clear" w:color="auto" w:fill="auto"/>
            <w:vAlign w:val="center"/>
          </w:tcPr>
          <w:p w14:paraId="7B1CE62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100</w:t>
            </w:r>
          </w:p>
        </w:tc>
        <w:tc>
          <w:tcPr>
            <w:tcW w:w="645" w:type="dxa"/>
            <w:gridSpan w:val="2"/>
            <w:tcBorders>
              <w:top w:val="single" w:color="000000" w:sz="4" w:space="0"/>
              <w:left w:val="single" w:color="000000" w:sz="4" w:space="0"/>
              <w:bottom w:val="nil"/>
              <w:right w:val="single" w:color="000000" w:sz="4" w:space="0"/>
            </w:tcBorders>
            <w:shd w:val="clear" w:color="auto" w:fill="auto"/>
            <w:vAlign w:val="center"/>
          </w:tcPr>
          <w:p w14:paraId="460F5D4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w:t>
            </w:r>
          </w:p>
        </w:tc>
        <w:tc>
          <w:tcPr>
            <w:tcW w:w="504" w:type="dxa"/>
            <w:tcBorders>
              <w:top w:val="single" w:color="000000" w:sz="4" w:space="0"/>
              <w:left w:val="single" w:color="000000" w:sz="4" w:space="0"/>
              <w:bottom w:val="nil"/>
              <w:right w:val="single" w:color="000000" w:sz="4" w:space="0"/>
            </w:tcBorders>
            <w:shd w:val="clear" w:color="auto" w:fill="auto"/>
            <w:vAlign w:val="center"/>
          </w:tcPr>
          <w:p w14:paraId="4F15F641">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626" w:type="dxa"/>
            <w:gridSpan w:val="2"/>
            <w:tcBorders>
              <w:top w:val="single" w:color="000000" w:sz="4" w:space="0"/>
              <w:left w:val="single" w:color="000000" w:sz="4" w:space="0"/>
              <w:bottom w:val="nil"/>
              <w:right w:val="single" w:color="000000" w:sz="4" w:space="0"/>
            </w:tcBorders>
            <w:shd w:val="clear" w:color="auto" w:fill="auto"/>
            <w:vAlign w:val="center"/>
          </w:tcPr>
          <w:p w14:paraId="51AF1F9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2200" w:type="dxa"/>
            <w:tcBorders>
              <w:top w:val="single" w:color="000000" w:sz="4" w:space="0"/>
              <w:left w:val="single" w:color="000000" w:sz="4" w:space="0"/>
              <w:bottom w:val="nil"/>
              <w:right w:val="single" w:color="000000" w:sz="4" w:space="0"/>
            </w:tcBorders>
            <w:shd w:val="clear" w:color="auto" w:fill="auto"/>
            <w:vAlign w:val="center"/>
          </w:tcPr>
          <w:p w14:paraId="3A2A9CA4">
            <w:pPr>
              <w:jc w:val="center"/>
              <w:rPr>
                <w:rFonts w:hint="eastAsia" w:ascii="宋体" w:hAnsi="宋体" w:eastAsia="宋体" w:cs="宋体"/>
                <w:i w:val="0"/>
                <w:iCs w:val="0"/>
                <w:color w:val="000000"/>
                <w:sz w:val="18"/>
                <w:szCs w:val="18"/>
                <w:u w:val="none" w:color="auto"/>
              </w:rPr>
            </w:pPr>
          </w:p>
        </w:tc>
      </w:tr>
      <w:tr w14:paraId="4B7D5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15" w:type="dxa"/>
          <w:wAfter w:w="30" w:type="dxa"/>
          <w:trHeight w:val="840" w:hRule="atLeast"/>
        </w:trPr>
        <w:tc>
          <w:tcPr>
            <w:tcW w:w="1948" w:type="dxa"/>
            <w:gridSpan w:val="4"/>
            <w:vMerge w:val="continue"/>
            <w:tcBorders>
              <w:top w:val="single" w:color="000000" w:sz="4" w:space="0"/>
              <w:left w:val="single" w:color="000000" w:sz="4" w:space="0"/>
              <w:bottom w:val="nil"/>
              <w:right w:val="single" w:color="000000" w:sz="4" w:space="0"/>
            </w:tcBorders>
            <w:shd w:val="clear" w:color="auto" w:fill="auto"/>
            <w:vAlign w:val="center"/>
          </w:tcPr>
          <w:p w14:paraId="706FA731">
            <w:pPr>
              <w:jc w:val="center"/>
              <w:rPr>
                <w:rFonts w:hint="eastAsia" w:ascii="宋体" w:hAnsi="宋体" w:eastAsia="宋体" w:cs="宋体"/>
                <w:i w:val="0"/>
                <w:iCs w:val="0"/>
                <w:color w:val="000000"/>
                <w:sz w:val="18"/>
                <w:szCs w:val="18"/>
                <w:u w:val="none" w:color="auto"/>
              </w:rPr>
            </w:pPr>
          </w:p>
        </w:tc>
        <w:tc>
          <w:tcPr>
            <w:tcW w:w="1070" w:type="dxa"/>
            <w:vMerge w:val="continue"/>
            <w:tcBorders>
              <w:top w:val="single" w:color="000000" w:sz="4" w:space="0"/>
              <w:left w:val="single" w:color="000000" w:sz="4" w:space="0"/>
              <w:bottom w:val="nil"/>
              <w:right w:val="single" w:color="000000" w:sz="4" w:space="0"/>
            </w:tcBorders>
            <w:shd w:val="clear" w:color="auto" w:fill="auto"/>
            <w:vAlign w:val="center"/>
          </w:tcPr>
          <w:p w14:paraId="56CAF853">
            <w:pPr>
              <w:jc w:val="center"/>
              <w:rPr>
                <w:rFonts w:hint="eastAsia" w:ascii="宋体" w:hAnsi="宋体" w:eastAsia="宋体" w:cs="宋体"/>
                <w:i w:val="0"/>
                <w:iCs w:val="0"/>
                <w:color w:val="000000"/>
                <w:sz w:val="18"/>
                <w:szCs w:val="18"/>
                <w:u w:val="none" w:color="auto"/>
              </w:rPr>
            </w:pPr>
          </w:p>
        </w:tc>
        <w:tc>
          <w:tcPr>
            <w:tcW w:w="707"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183AC3A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时效指标</w:t>
            </w:r>
          </w:p>
        </w:tc>
        <w:tc>
          <w:tcPr>
            <w:tcW w:w="788" w:type="dxa"/>
            <w:gridSpan w:val="3"/>
            <w:tcBorders>
              <w:top w:val="single" w:color="000000" w:sz="4" w:space="0"/>
              <w:left w:val="single" w:color="000000" w:sz="4" w:space="0"/>
              <w:bottom w:val="nil"/>
              <w:right w:val="single" w:color="000000" w:sz="4" w:space="0"/>
            </w:tcBorders>
            <w:shd w:val="clear" w:color="auto" w:fill="auto"/>
            <w:vAlign w:val="center"/>
          </w:tcPr>
          <w:p w14:paraId="677032B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考试完成时间</w:t>
            </w:r>
          </w:p>
        </w:tc>
        <w:tc>
          <w:tcPr>
            <w:tcW w:w="474" w:type="dxa"/>
            <w:tcBorders>
              <w:top w:val="single" w:color="000000" w:sz="4" w:space="0"/>
              <w:left w:val="single" w:color="000000" w:sz="4" w:space="0"/>
              <w:bottom w:val="nil"/>
              <w:right w:val="single" w:color="000000" w:sz="4" w:space="0"/>
            </w:tcBorders>
            <w:shd w:val="clear" w:color="auto" w:fill="auto"/>
            <w:vAlign w:val="center"/>
          </w:tcPr>
          <w:p w14:paraId="1A723C7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定性</w:t>
            </w:r>
          </w:p>
        </w:tc>
        <w:tc>
          <w:tcPr>
            <w:tcW w:w="474" w:type="dxa"/>
            <w:gridSpan w:val="2"/>
            <w:tcBorders>
              <w:top w:val="single" w:color="000000" w:sz="4" w:space="0"/>
              <w:left w:val="single" w:color="000000" w:sz="4" w:space="0"/>
              <w:bottom w:val="nil"/>
              <w:right w:val="single" w:color="000000" w:sz="4" w:space="0"/>
            </w:tcBorders>
            <w:shd w:val="clear" w:color="auto" w:fill="auto"/>
            <w:vAlign w:val="center"/>
          </w:tcPr>
          <w:p w14:paraId="140C7AFC">
            <w:pPr>
              <w:jc w:val="center"/>
              <w:rPr>
                <w:rFonts w:hint="eastAsia" w:ascii="宋体" w:hAnsi="宋体" w:eastAsia="宋体" w:cs="宋体"/>
                <w:i w:val="0"/>
                <w:iCs w:val="0"/>
                <w:color w:val="000000"/>
                <w:sz w:val="18"/>
                <w:szCs w:val="18"/>
                <w:u w:val="none" w:color="auto"/>
              </w:rPr>
            </w:pPr>
          </w:p>
        </w:tc>
        <w:tc>
          <w:tcPr>
            <w:tcW w:w="700" w:type="dxa"/>
            <w:gridSpan w:val="2"/>
            <w:tcBorders>
              <w:top w:val="single" w:color="000000" w:sz="4" w:space="0"/>
              <w:left w:val="single" w:color="000000" w:sz="4" w:space="0"/>
              <w:bottom w:val="nil"/>
              <w:right w:val="single" w:color="000000" w:sz="4" w:space="0"/>
            </w:tcBorders>
            <w:shd w:val="clear" w:color="auto" w:fill="auto"/>
            <w:vAlign w:val="center"/>
          </w:tcPr>
          <w:p w14:paraId="661E60A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2025年12月前</w:t>
            </w:r>
          </w:p>
        </w:tc>
        <w:tc>
          <w:tcPr>
            <w:tcW w:w="739" w:type="dxa"/>
            <w:gridSpan w:val="2"/>
            <w:tcBorders>
              <w:top w:val="single" w:color="000000" w:sz="4" w:space="0"/>
              <w:left w:val="single" w:color="000000" w:sz="4" w:space="0"/>
              <w:bottom w:val="nil"/>
              <w:right w:val="single" w:color="000000" w:sz="4" w:space="0"/>
            </w:tcBorders>
            <w:shd w:val="clear" w:color="auto" w:fill="auto"/>
            <w:vAlign w:val="center"/>
          </w:tcPr>
          <w:p w14:paraId="28F317F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2025年12月前</w:t>
            </w:r>
          </w:p>
        </w:tc>
        <w:tc>
          <w:tcPr>
            <w:tcW w:w="645" w:type="dxa"/>
            <w:gridSpan w:val="2"/>
            <w:tcBorders>
              <w:top w:val="single" w:color="000000" w:sz="4" w:space="0"/>
              <w:left w:val="single" w:color="000000" w:sz="4" w:space="0"/>
              <w:bottom w:val="nil"/>
              <w:right w:val="single" w:color="000000" w:sz="4" w:space="0"/>
            </w:tcBorders>
            <w:shd w:val="clear" w:color="auto" w:fill="auto"/>
            <w:vAlign w:val="center"/>
          </w:tcPr>
          <w:p w14:paraId="376C9BBE">
            <w:pPr>
              <w:jc w:val="center"/>
              <w:rPr>
                <w:rFonts w:hint="eastAsia" w:ascii="宋体" w:hAnsi="宋体" w:eastAsia="宋体" w:cs="宋体"/>
                <w:i w:val="0"/>
                <w:iCs w:val="0"/>
                <w:color w:val="000000"/>
                <w:sz w:val="18"/>
                <w:szCs w:val="18"/>
                <w:u w:val="none" w:color="auto"/>
              </w:rPr>
            </w:pPr>
          </w:p>
        </w:tc>
        <w:tc>
          <w:tcPr>
            <w:tcW w:w="504" w:type="dxa"/>
            <w:tcBorders>
              <w:top w:val="single" w:color="000000" w:sz="4" w:space="0"/>
              <w:left w:val="single" w:color="000000" w:sz="4" w:space="0"/>
              <w:bottom w:val="nil"/>
              <w:right w:val="single" w:color="000000" w:sz="4" w:space="0"/>
            </w:tcBorders>
            <w:shd w:val="clear" w:color="auto" w:fill="auto"/>
            <w:vAlign w:val="center"/>
          </w:tcPr>
          <w:p w14:paraId="45418DB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626" w:type="dxa"/>
            <w:gridSpan w:val="2"/>
            <w:tcBorders>
              <w:top w:val="single" w:color="000000" w:sz="4" w:space="0"/>
              <w:left w:val="single" w:color="000000" w:sz="4" w:space="0"/>
              <w:bottom w:val="nil"/>
              <w:right w:val="single" w:color="000000" w:sz="4" w:space="0"/>
            </w:tcBorders>
            <w:shd w:val="clear" w:color="auto" w:fill="auto"/>
            <w:vAlign w:val="center"/>
          </w:tcPr>
          <w:p w14:paraId="0178F80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2200" w:type="dxa"/>
            <w:tcBorders>
              <w:top w:val="single" w:color="000000" w:sz="4" w:space="0"/>
              <w:left w:val="single" w:color="000000" w:sz="4" w:space="0"/>
              <w:bottom w:val="nil"/>
              <w:right w:val="single" w:color="000000" w:sz="4" w:space="0"/>
            </w:tcBorders>
            <w:shd w:val="clear" w:color="auto" w:fill="auto"/>
            <w:vAlign w:val="center"/>
          </w:tcPr>
          <w:p w14:paraId="66B17473">
            <w:pPr>
              <w:jc w:val="center"/>
              <w:rPr>
                <w:rFonts w:hint="eastAsia" w:ascii="宋体" w:hAnsi="宋体" w:eastAsia="宋体" w:cs="宋体"/>
                <w:i w:val="0"/>
                <w:iCs w:val="0"/>
                <w:color w:val="000000"/>
                <w:sz w:val="18"/>
                <w:szCs w:val="18"/>
                <w:u w:val="none" w:color="auto"/>
              </w:rPr>
            </w:pPr>
          </w:p>
        </w:tc>
      </w:tr>
      <w:tr w14:paraId="3E008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15" w:type="dxa"/>
          <w:wAfter w:w="30" w:type="dxa"/>
          <w:trHeight w:val="840" w:hRule="atLeast"/>
        </w:trPr>
        <w:tc>
          <w:tcPr>
            <w:tcW w:w="1948" w:type="dxa"/>
            <w:gridSpan w:val="4"/>
            <w:vMerge w:val="continue"/>
            <w:tcBorders>
              <w:top w:val="single" w:color="000000" w:sz="4" w:space="0"/>
              <w:left w:val="single" w:color="000000" w:sz="4" w:space="0"/>
              <w:bottom w:val="nil"/>
              <w:right w:val="single" w:color="000000" w:sz="4" w:space="0"/>
            </w:tcBorders>
            <w:shd w:val="clear" w:color="auto" w:fill="auto"/>
            <w:vAlign w:val="center"/>
          </w:tcPr>
          <w:p w14:paraId="6A6E389B">
            <w:pPr>
              <w:jc w:val="center"/>
              <w:rPr>
                <w:rFonts w:hint="eastAsia" w:ascii="宋体" w:hAnsi="宋体" w:eastAsia="宋体" w:cs="宋体"/>
                <w:i w:val="0"/>
                <w:iCs w:val="0"/>
                <w:color w:val="000000"/>
                <w:sz w:val="18"/>
                <w:szCs w:val="18"/>
                <w:u w:val="none" w:color="auto"/>
              </w:rPr>
            </w:pPr>
          </w:p>
        </w:tc>
        <w:tc>
          <w:tcPr>
            <w:tcW w:w="1070" w:type="dxa"/>
            <w:vMerge w:val="continue"/>
            <w:tcBorders>
              <w:top w:val="single" w:color="000000" w:sz="4" w:space="0"/>
              <w:left w:val="single" w:color="000000" w:sz="4" w:space="0"/>
              <w:bottom w:val="nil"/>
              <w:right w:val="single" w:color="000000" w:sz="4" w:space="0"/>
            </w:tcBorders>
            <w:shd w:val="clear" w:color="auto" w:fill="auto"/>
            <w:vAlign w:val="center"/>
          </w:tcPr>
          <w:p w14:paraId="0FAA375F">
            <w:pPr>
              <w:jc w:val="center"/>
              <w:rPr>
                <w:rFonts w:hint="eastAsia" w:ascii="宋体" w:hAnsi="宋体" w:eastAsia="宋体" w:cs="宋体"/>
                <w:i w:val="0"/>
                <w:iCs w:val="0"/>
                <w:color w:val="000000"/>
                <w:sz w:val="18"/>
                <w:szCs w:val="18"/>
                <w:u w:val="none" w:color="auto"/>
              </w:rPr>
            </w:pPr>
          </w:p>
        </w:tc>
        <w:tc>
          <w:tcPr>
            <w:tcW w:w="707"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7A8CB024">
            <w:pPr>
              <w:jc w:val="center"/>
              <w:rPr>
                <w:rFonts w:hint="eastAsia" w:ascii="宋体" w:hAnsi="宋体" w:eastAsia="宋体" w:cs="宋体"/>
                <w:i w:val="0"/>
                <w:iCs w:val="0"/>
                <w:color w:val="000000"/>
                <w:sz w:val="18"/>
                <w:szCs w:val="18"/>
                <w:u w:val="none" w:color="auto"/>
              </w:rPr>
            </w:pPr>
          </w:p>
        </w:tc>
        <w:tc>
          <w:tcPr>
            <w:tcW w:w="788" w:type="dxa"/>
            <w:gridSpan w:val="3"/>
            <w:tcBorders>
              <w:top w:val="single" w:color="000000" w:sz="4" w:space="0"/>
              <w:left w:val="single" w:color="000000" w:sz="4" w:space="0"/>
              <w:bottom w:val="nil"/>
              <w:right w:val="single" w:color="000000" w:sz="4" w:space="0"/>
            </w:tcBorders>
            <w:shd w:val="clear" w:color="auto" w:fill="auto"/>
            <w:vAlign w:val="center"/>
          </w:tcPr>
          <w:p w14:paraId="48B2E70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考试按时完成率</w:t>
            </w:r>
          </w:p>
        </w:tc>
        <w:tc>
          <w:tcPr>
            <w:tcW w:w="474" w:type="dxa"/>
            <w:tcBorders>
              <w:top w:val="single" w:color="000000" w:sz="4" w:space="0"/>
              <w:left w:val="single" w:color="000000" w:sz="4" w:space="0"/>
              <w:bottom w:val="nil"/>
              <w:right w:val="single" w:color="000000" w:sz="4" w:space="0"/>
            </w:tcBorders>
            <w:shd w:val="clear" w:color="auto" w:fill="auto"/>
            <w:vAlign w:val="center"/>
          </w:tcPr>
          <w:p w14:paraId="3E66592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474" w:type="dxa"/>
            <w:gridSpan w:val="2"/>
            <w:tcBorders>
              <w:top w:val="single" w:color="000000" w:sz="4" w:space="0"/>
              <w:left w:val="single" w:color="000000" w:sz="4" w:space="0"/>
              <w:bottom w:val="nil"/>
              <w:right w:val="single" w:color="000000" w:sz="4" w:space="0"/>
            </w:tcBorders>
            <w:shd w:val="clear" w:color="auto" w:fill="auto"/>
            <w:vAlign w:val="center"/>
          </w:tcPr>
          <w:p w14:paraId="49ECAB7A">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等于</w:t>
            </w:r>
          </w:p>
        </w:tc>
        <w:tc>
          <w:tcPr>
            <w:tcW w:w="700" w:type="dxa"/>
            <w:gridSpan w:val="2"/>
            <w:tcBorders>
              <w:top w:val="single" w:color="000000" w:sz="4" w:space="0"/>
              <w:left w:val="single" w:color="000000" w:sz="4" w:space="0"/>
              <w:bottom w:val="nil"/>
              <w:right w:val="single" w:color="000000" w:sz="4" w:space="0"/>
            </w:tcBorders>
            <w:shd w:val="clear" w:color="auto" w:fill="auto"/>
            <w:vAlign w:val="center"/>
          </w:tcPr>
          <w:p w14:paraId="5D330DB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100</w:t>
            </w:r>
          </w:p>
        </w:tc>
        <w:tc>
          <w:tcPr>
            <w:tcW w:w="739" w:type="dxa"/>
            <w:gridSpan w:val="2"/>
            <w:tcBorders>
              <w:top w:val="single" w:color="000000" w:sz="4" w:space="0"/>
              <w:left w:val="single" w:color="000000" w:sz="4" w:space="0"/>
              <w:bottom w:val="nil"/>
              <w:right w:val="single" w:color="000000" w:sz="4" w:space="0"/>
            </w:tcBorders>
            <w:shd w:val="clear" w:color="auto" w:fill="auto"/>
            <w:vAlign w:val="center"/>
          </w:tcPr>
          <w:p w14:paraId="7FFAC78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100</w:t>
            </w:r>
          </w:p>
        </w:tc>
        <w:tc>
          <w:tcPr>
            <w:tcW w:w="645" w:type="dxa"/>
            <w:gridSpan w:val="2"/>
            <w:tcBorders>
              <w:top w:val="single" w:color="000000" w:sz="4" w:space="0"/>
              <w:left w:val="single" w:color="000000" w:sz="4" w:space="0"/>
              <w:bottom w:val="nil"/>
              <w:right w:val="single" w:color="000000" w:sz="4" w:space="0"/>
            </w:tcBorders>
            <w:shd w:val="clear" w:color="auto" w:fill="auto"/>
            <w:vAlign w:val="center"/>
          </w:tcPr>
          <w:p w14:paraId="157E3CA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w:t>
            </w:r>
          </w:p>
        </w:tc>
        <w:tc>
          <w:tcPr>
            <w:tcW w:w="504" w:type="dxa"/>
            <w:tcBorders>
              <w:top w:val="single" w:color="000000" w:sz="4" w:space="0"/>
              <w:left w:val="single" w:color="000000" w:sz="4" w:space="0"/>
              <w:bottom w:val="nil"/>
              <w:right w:val="single" w:color="000000" w:sz="4" w:space="0"/>
            </w:tcBorders>
            <w:shd w:val="clear" w:color="auto" w:fill="auto"/>
            <w:vAlign w:val="center"/>
          </w:tcPr>
          <w:p w14:paraId="73502AC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626" w:type="dxa"/>
            <w:gridSpan w:val="2"/>
            <w:tcBorders>
              <w:top w:val="single" w:color="000000" w:sz="4" w:space="0"/>
              <w:left w:val="single" w:color="000000" w:sz="4" w:space="0"/>
              <w:bottom w:val="nil"/>
              <w:right w:val="single" w:color="000000" w:sz="4" w:space="0"/>
            </w:tcBorders>
            <w:shd w:val="clear" w:color="auto" w:fill="auto"/>
            <w:vAlign w:val="center"/>
          </w:tcPr>
          <w:p w14:paraId="1A60E9A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2200" w:type="dxa"/>
            <w:tcBorders>
              <w:top w:val="single" w:color="000000" w:sz="4" w:space="0"/>
              <w:left w:val="single" w:color="000000" w:sz="4" w:space="0"/>
              <w:bottom w:val="nil"/>
              <w:right w:val="single" w:color="000000" w:sz="4" w:space="0"/>
            </w:tcBorders>
            <w:shd w:val="clear" w:color="auto" w:fill="auto"/>
            <w:vAlign w:val="center"/>
          </w:tcPr>
          <w:p w14:paraId="27C53827">
            <w:pPr>
              <w:jc w:val="center"/>
              <w:rPr>
                <w:rFonts w:hint="eastAsia" w:ascii="宋体" w:hAnsi="宋体" w:eastAsia="宋体" w:cs="宋体"/>
                <w:i w:val="0"/>
                <w:iCs w:val="0"/>
                <w:color w:val="000000"/>
                <w:sz w:val="18"/>
                <w:szCs w:val="18"/>
                <w:u w:val="none" w:color="auto"/>
              </w:rPr>
            </w:pPr>
          </w:p>
        </w:tc>
      </w:tr>
      <w:tr w14:paraId="703AB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15" w:type="dxa"/>
          <w:wAfter w:w="30" w:type="dxa"/>
          <w:trHeight w:val="840" w:hRule="atLeast"/>
        </w:trPr>
        <w:tc>
          <w:tcPr>
            <w:tcW w:w="1948" w:type="dxa"/>
            <w:gridSpan w:val="4"/>
            <w:vMerge w:val="continue"/>
            <w:tcBorders>
              <w:top w:val="single" w:color="000000" w:sz="4" w:space="0"/>
              <w:left w:val="single" w:color="000000" w:sz="4" w:space="0"/>
              <w:bottom w:val="nil"/>
              <w:right w:val="single" w:color="000000" w:sz="4" w:space="0"/>
            </w:tcBorders>
            <w:shd w:val="clear" w:color="auto" w:fill="auto"/>
            <w:vAlign w:val="center"/>
          </w:tcPr>
          <w:p w14:paraId="586672AD">
            <w:pPr>
              <w:jc w:val="center"/>
              <w:rPr>
                <w:rFonts w:hint="eastAsia" w:ascii="宋体" w:hAnsi="宋体" w:eastAsia="宋体" w:cs="宋体"/>
                <w:i w:val="0"/>
                <w:iCs w:val="0"/>
                <w:color w:val="000000"/>
                <w:sz w:val="18"/>
                <w:szCs w:val="18"/>
                <w:u w:val="none" w:color="auto"/>
              </w:rPr>
            </w:pPr>
          </w:p>
        </w:tc>
        <w:tc>
          <w:tcPr>
            <w:tcW w:w="1070" w:type="dxa"/>
            <w:vMerge w:val="continue"/>
            <w:tcBorders>
              <w:top w:val="single" w:color="000000" w:sz="4" w:space="0"/>
              <w:left w:val="single" w:color="000000" w:sz="4" w:space="0"/>
              <w:bottom w:val="nil"/>
              <w:right w:val="single" w:color="000000" w:sz="4" w:space="0"/>
            </w:tcBorders>
            <w:shd w:val="clear" w:color="auto" w:fill="auto"/>
            <w:vAlign w:val="center"/>
          </w:tcPr>
          <w:p w14:paraId="61A85A43">
            <w:pPr>
              <w:jc w:val="center"/>
              <w:rPr>
                <w:rFonts w:hint="eastAsia" w:ascii="宋体" w:hAnsi="宋体" w:eastAsia="宋体" w:cs="宋体"/>
                <w:i w:val="0"/>
                <w:iCs w:val="0"/>
                <w:color w:val="000000"/>
                <w:sz w:val="18"/>
                <w:szCs w:val="18"/>
                <w:u w:val="none" w:color="auto"/>
              </w:rPr>
            </w:pPr>
          </w:p>
        </w:tc>
        <w:tc>
          <w:tcPr>
            <w:tcW w:w="707"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42C04B7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成本指标</w:t>
            </w:r>
          </w:p>
        </w:tc>
        <w:tc>
          <w:tcPr>
            <w:tcW w:w="788" w:type="dxa"/>
            <w:gridSpan w:val="3"/>
            <w:tcBorders>
              <w:top w:val="single" w:color="000000" w:sz="4" w:space="0"/>
              <w:left w:val="single" w:color="000000" w:sz="4" w:space="0"/>
              <w:bottom w:val="nil"/>
              <w:right w:val="single" w:color="000000" w:sz="4" w:space="0"/>
            </w:tcBorders>
            <w:shd w:val="clear" w:color="auto" w:fill="auto"/>
            <w:vAlign w:val="center"/>
          </w:tcPr>
          <w:p w14:paraId="6935DE5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考试考务人员人均劳务成本</w:t>
            </w:r>
          </w:p>
        </w:tc>
        <w:tc>
          <w:tcPr>
            <w:tcW w:w="474" w:type="dxa"/>
            <w:tcBorders>
              <w:top w:val="single" w:color="000000" w:sz="4" w:space="0"/>
              <w:left w:val="single" w:color="000000" w:sz="4" w:space="0"/>
              <w:bottom w:val="nil"/>
              <w:right w:val="single" w:color="000000" w:sz="4" w:space="0"/>
            </w:tcBorders>
            <w:shd w:val="clear" w:color="auto" w:fill="auto"/>
            <w:vAlign w:val="center"/>
          </w:tcPr>
          <w:p w14:paraId="76C1980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反向</w:t>
            </w:r>
          </w:p>
        </w:tc>
        <w:tc>
          <w:tcPr>
            <w:tcW w:w="474" w:type="dxa"/>
            <w:gridSpan w:val="2"/>
            <w:tcBorders>
              <w:top w:val="single" w:color="000000" w:sz="4" w:space="0"/>
              <w:left w:val="single" w:color="000000" w:sz="4" w:space="0"/>
              <w:bottom w:val="nil"/>
              <w:right w:val="single" w:color="000000" w:sz="4" w:space="0"/>
            </w:tcBorders>
            <w:shd w:val="clear" w:color="auto" w:fill="auto"/>
            <w:vAlign w:val="center"/>
          </w:tcPr>
          <w:p w14:paraId="3D9E662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小于等于</w:t>
            </w:r>
          </w:p>
        </w:tc>
        <w:tc>
          <w:tcPr>
            <w:tcW w:w="700" w:type="dxa"/>
            <w:gridSpan w:val="2"/>
            <w:tcBorders>
              <w:top w:val="single" w:color="000000" w:sz="4" w:space="0"/>
              <w:left w:val="single" w:color="000000" w:sz="4" w:space="0"/>
              <w:bottom w:val="nil"/>
              <w:right w:val="single" w:color="000000" w:sz="4" w:space="0"/>
            </w:tcBorders>
            <w:shd w:val="clear" w:color="auto" w:fill="auto"/>
            <w:vAlign w:val="center"/>
          </w:tcPr>
          <w:p w14:paraId="2AA47CC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300</w:t>
            </w:r>
          </w:p>
        </w:tc>
        <w:tc>
          <w:tcPr>
            <w:tcW w:w="739" w:type="dxa"/>
            <w:gridSpan w:val="2"/>
            <w:tcBorders>
              <w:top w:val="single" w:color="000000" w:sz="4" w:space="0"/>
              <w:left w:val="single" w:color="000000" w:sz="4" w:space="0"/>
              <w:bottom w:val="nil"/>
              <w:right w:val="single" w:color="000000" w:sz="4" w:space="0"/>
            </w:tcBorders>
            <w:shd w:val="clear" w:color="auto" w:fill="auto"/>
            <w:vAlign w:val="center"/>
          </w:tcPr>
          <w:p w14:paraId="491C714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300</w:t>
            </w:r>
          </w:p>
        </w:tc>
        <w:tc>
          <w:tcPr>
            <w:tcW w:w="645" w:type="dxa"/>
            <w:gridSpan w:val="2"/>
            <w:tcBorders>
              <w:top w:val="single" w:color="000000" w:sz="4" w:space="0"/>
              <w:left w:val="single" w:color="000000" w:sz="4" w:space="0"/>
              <w:bottom w:val="nil"/>
              <w:right w:val="single" w:color="000000" w:sz="4" w:space="0"/>
            </w:tcBorders>
            <w:shd w:val="clear" w:color="auto" w:fill="auto"/>
            <w:vAlign w:val="center"/>
          </w:tcPr>
          <w:p w14:paraId="5993620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元/日</w:t>
            </w:r>
          </w:p>
        </w:tc>
        <w:tc>
          <w:tcPr>
            <w:tcW w:w="504" w:type="dxa"/>
            <w:tcBorders>
              <w:top w:val="single" w:color="000000" w:sz="4" w:space="0"/>
              <w:left w:val="single" w:color="000000" w:sz="4" w:space="0"/>
              <w:bottom w:val="nil"/>
              <w:right w:val="single" w:color="000000" w:sz="4" w:space="0"/>
            </w:tcBorders>
            <w:shd w:val="clear" w:color="auto" w:fill="auto"/>
            <w:vAlign w:val="center"/>
          </w:tcPr>
          <w:p w14:paraId="4B95C18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626" w:type="dxa"/>
            <w:gridSpan w:val="2"/>
            <w:tcBorders>
              <w:top w:val="single" w:color="000000" w:sz="4" w:space="0"/>
              <w:left w:val="single" w:color="000000" w:sz="4" w:space="0"/>
              <w:bottom w:val="nil"/>
              <w:right w:val="single" w:color="000000" w:sz="4" w:space="0"/>
            </w:tcBorders>
            <w:shd w:val="clear" w:color="auto" w:fill="auto"/>
            <w:vAlign w:val="center"/>
          </w:tcPr>
          <w:p w14:paraId="1BA7D4A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2200" w:type="dxa"/>
            <w:tcBorders>
              <w:top w:val="single" w:color="000000" w:sz="4" w:space="0"/>
              <w:left w:val="single" w:color="000000" w:sz="4" w:space="0"/>
              <w:bottom w:val="nil"/>
              <w:right w:val="single" w:color="000000" w:sz="4" w:space="0"/>
            </w:tcBorders>
            <w:shd w:val="clear" w:color="auto" w:fill="auto"/>
            <w:vAlign w:val="center"/>
          </w:tcPr>
          <w:p w14:paraId="6DA237C5">
            <w:pPr>
              <w:jc w:val="center"/>
              <w:rPr>
                <w:rFonts w:hint="eastAsia" w:ascii="宋体" w:hAnsi="宋体" w:eastAsia="宋体" w:cs="宋体"/>
                <w:i w:val="0"/>
                <w:iCs w:val="0"/>
                <w:color w:val="000000"/>
                <w:sz w:val="18"/>
                <w:szCs w:val="18"/>
                <w:u w:val="none" w:color="auto"/>
              </w:rPr>
            </w:pPr>
          </w:p>
        </w:tc>
      </w:tr>
      <w:tr w14:paraId="39FFC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15" w:type="dxa"/>
          <w:wAfter w:w="30" w:type="dxa"/>
          <w:trHeight w:val="840" w:hRule="atLeast"/>
        </w:trPr>
        <w:tc>
          <w:tcPr>
            <w:tcW w:w="1948" w:type="dxa"/>
            <w:gridSpan w:val="4"/>
            <w:vMerge w:val="continue"/>
            <w:tcBorders>
              <w:top w:val="single" w:color="000000" w:sz="4" w:space="0"/>
              <w:left w:val="single" w:color="000000" w:sz="4" w:space="0"/>
              <w:bottom w:val="nil"/>
              <w:right w:val="single" w:color="000000" w:sz="4" w:space="0"/>
            </w:tcBorders>
            <w:shd w:val="clear" w:color="auto" w:fill="auto"/>
            <w:vAlign w:val="center"/>
          </w:tcPr>
          <w:p w14:paraId="592BD1D5">
            <w:pPr>
              <w:jc w:val="center"/>
              <w:rPr>
                <w:rFonts w:hint="eastAsia" w:ascii="宋体" w:hAnsi="宋体" w:eastAsia="宋体" w:cs="宋体"/>
                <w:i w:val="0"/>
                <w:iCs w:val="0"/>
                <w:color w:val="000000"/>
                <w:sz w:val="18"/>
                <w:szCs w:val="18"/>
                <w:u w:val="none" w:color="auto"/>
              </w:rPr>
            </w:pPr>
          </w:p>
        </w:tc>
        <w:tc>
          <w:tcPr>
            <w:tcW w:w="1070" w:type="dxa"/>
            <w:vMerge w:val="continue"/>
            <w:tcBorders>
              <w:top w:val="single" w:color="000000" w:sz="4" w:space="0"/>
              <w:left w:val="single" w:color="000000" w:sz="4" w:space="0"/>
              <w:bottom w:val="nil"/>
              <w:right w:val="single" w:color="000000" w:sz="4" w:space="0"/>
            </w:tcBorders>
            <w:shd w:val="clear" w:color="auto" w:fill="auto"/>
            <w:vAlign w:val="center"/>
          </w:tcPr>
          <w:p w14:paraId="4BEB649C">
            <w:pPr>
              <w:jc w:val="center"/>
              <w:rPr>
                <w:rFonts w:hint="eastAsia" w:ascii="宋体" w:hAnsi="宋体" w:eastAsia="宋体" w:cs="宋体"/>
                <w:i w:val="0"/>
                <w:iCs w:val="0"/>
                <w:color w:val="000000"/>
                <w:sz w:val="18"/>
                <w:szCs w:val="18"/>
                <w:u w:val="none" w:color="auto"/>
              </w:rPr>
            </w:pPr>
          </w:p>
        </w:tc>
        <w:tc>
          <w:tcPr>
            <w:tcW w:w="707"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5BF64CF5">
            <w:pPr>
              <w:jc w:val="center"/>
              <w:rPr>
                <w:rFonts w:hint="eastAsia" w:ascii="宋体" w:hAnsi="宋体" w:eastAsia="宋体" w:cs="宋体"/>
                <w:i w:val="0"/>
                <w:iCs w:val="0"/>
                <w:color w:val="000000"/>
                <w:sz w:val="18"/>
                <w:szCs w:val="18"/>
                <w:u w:val="none" w:color="auto"/>
              </w:rPr>
            </w:pPr>
          </w:p>
        </w:tc>
        <w:tc>
          <w:tcPr>
            <w:tcW w:w="788" w:type="dxa"/>
            <w:gridSpan w:val="3"/>
            <w:tcBorders>
              <w:top w:val="single" w:color="000000" w:sz="4" w:space="0"/>
              <w:left w:val="single" w:color="000000" w:sz="4" w:space="0"/>
              <w:bottom w:val="nil"/>
              <w:right w:val="single" w:color="000000" w:sz="4" w:space="0"/>
            </w:tcBorders>
            <w:shd w:val="clear" w:color="auto" w:fill="auto"/>
            <w:vAlign w:val="center"/>
          </w:tcPr>
          <w:p w14:paraId="6DB30F5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项目总成本</w:t>
            </w:r>
          </w:p>
        </w:tc>
        <w:tc>
          <w:tcPr>
            <w:tcW w:w="474" w:type="dxa"/>
            <w:tcBorders>
              <w:top w:val="single" w:color="000000" w:sz="4" w:space="0"/>
              <w:left w:val="single" w:color="000000" w:sz="4" w:space="0"/>
              <w:bottom w:val="nil"/>
              <w:right w:val="single" w:color="000000" w:sz="4" w:space="0"/>
            </w:tcBorders>
            <w:shd w:val="clear" w:color="auto" w:fill="auto"/>
            <w:vAlign w:val="center"/>
          </w:tcPr>
          <w:p w14:paraId="2415F64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反向</w:t>
            </w:r>
          </w:p>
        </w:tc>
        <w:tc>
          <w:tcPr>
            <w:tcW w:w="474" w:type="dxa"/>
            <w:gridSpan w:val="2"/>
            <w:tcBorders>
              <w:top w:val="single" w:color="000000" w:sz="4" w:space="0"/>
              <w:left w:val="single" w:color="000000" w:sz="4" w:space="0"/>
              <w:bottom w:val="nil"/>
              <w:right w:val="single" w:color="000000" w:sz="4" w:space="0"/>
            </w:tcBorders>
            <w:shd w:val="clear" w:color="auto" w:fill="auto"/>
            <w:vAlign w:val="center"/>
          </w:tcPr>
          <w:p w14:paraId="242BD37A">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小于等于</w:t>
            </w:r>
          </w:p>
        </w:tc>
        <w:tc>
          <w:tcPr>
            <w:tcW w:w="700" w:type="dxa"/>
            <w:gridSpan w:val="2"/>
            <w:tcBorders>
              <w:top w:val="single" w:color="000000" w:sz="4" w:space="0"/>
              <w:left w:val="single" w:color="000000" w:sz="4" w:space="0"/>
              <w:bottom w:val="nil"/>
              <w:right w:val="single" w:color="000000" w:sz="4" w:space="0"/>
            </w:tcBorders>
            <w:shd w:val="clear" w:color="auto" w:fill="auto"/>
            <w:vAlign w:val="center"/>
          </w:tcPr>
          <w:p w14:paraId="6AD006E6">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70</w:t>
            </w:r>
          </w:p>
        </w:tc>
        <w:tc>
          <w:tcPr>
            <w:tcW w:w="739" w:type="dxa"/>
            <w:gridSpan w:val="2"/>
            <w:tcBorders>
              <w:top w:val="single" w:color="000000" w:sz="4" w:space="0"/>
              <w:left w:val="single" w:color="000000" w:sz="4" w:space="0"/>
              <w:bottom w:val="nil"/>
              <w:right w:val="single" w:color="000000" w:sz="4" w:space="0"/>
            </w:tcBorders>
            <w:shd w:val="clear" w:color="auto" w:fill="auto"/>
            <w:vAlign w:val="center"/>
          </w:tcPr>
          <w:p w14:paraId="21BE627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39.44</w:t>
            </w:r>
          </w:p>
        </w:tc>
        <w:tc>
          <w:tcPr>
            <w:tcW w:w="645" w:type="dxa"/>
            <w:gridSpan w:val="2"/>
            <w:tcBorders>
              <w:top w:val="single" w:color="000000" w:sz="4" w:space="0"/>
              <w:left w:val="single" w:color="000000" w:sz="4" w:space="0"/>
              <w:bottom w:val="nil"/>
              <w:right w:val="single" w:color="000000" w:sz="4" w:space="0"/>
            </w:tcBorders>
            <w:shd w:val="clear" w:color="auto" w:fill="auto"/>
            <w:vAlign w:val="center"/>
          </w:tcPr>
          <w:p w14:paraId="7DB1394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万元</w:t>
            </w:r>
          </w:p>
        </w:tc>
        <w:tc>
          <w:tcPr>
            <w:tcW w:w="504" w:type="dxa"/>
            <w:tcBorders>
              <w:top w:val="single" w:color="000000" w:sz="4" w:space="0"/>
              <w:left w:val="single" w:color="000000" w:sz="4" w:space="0"/>
              <w:bottom w:val="nil"/>
              <w:right w:val="single" w:color="000000" w:sz="4" w:space="0"/>
            </w:tcBorders>
            <w:shd w:val="clear" w:color="auto" w:fill="auto"/>
            <w:vAlign w:val="center"/>
          </w:tcPr>
          <w:p w14:paraId="721B47F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626" w:type="dxa"/>
            <w:gridSpan w:val="2"/>
            <w:tcBorders>
              <w:top w:val="single" w:color="000000" w:sz="4" w:space="0"/>
              <w:left w:val="single" w:color="000000" w:sz="4" w:space="0"/>
              <w:bottom w:val="nil"/>
              <w:right w:val="single" w:color="000000" w:sz="4" w:space="0"/>
            </w:tcBorders>
            <w:shd w:val="clear" w:color="auto" w:fill="auto"/>
            <w:vAlign w:val="center"/>
          </w:tcPr>
          <w:p w14:paraId="1FF50926">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2200" w:type="dxa"/>
            <w:tcBorders>
              <w:top w:val="single" w:color="000000" w:sz="4" w:space="0"/>
              <w:left w:val="single" w:color="000000" w:sz="4" w:space="0"/>
              <w:bottom w:val="nil"/>
              <w:right w:val="single" w:color="000000" w:sz="4" w:space="0"/>
            </w:tcBorders>
            <w:shd w:val="clear" w:color="auto" w:fill="auto"/>
            <w:vAlign w:val="center"/>
          </w:tcPr>
          <w:p w14:paraId="4FC8CB4E">
            <w:pPr>
              <w:jc w:val="center"/>
              <w:rPr>
                <w:rFonts w:hint="eastAsia" w:ascii="宋体" w:hAnsi="宋体" w:eastAsia="宋体" w:cs="宋体"/>
                <w:i w:val="0"/>
                <w:iCs w:val="0"/>
                <w:color w:val="000000"/>
                <w:sz w:val="18"/>
                <w:szCs w:val="18"/>
                <w:u w:val="none" w:color="auto"/>
              </w:rPr>
            </w:pPr>
          </w:p>
        </w:tc>
      </w:tr>
      <w:tr w14:paraId="16ACE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15" w:type="dxa"/>
          <w:wAfter w:w="30" w:type="dxa"/>
          <w:trHeight w:val="840" w:hRule="atLeast"/>
        </w:trPr>
        <w:tc>
          <w:tcPr>
            <w:tcW w:w="1948" w:type="dxa"/>
            <w:gridSpan w:val="4"/>
            <w:vMerge w:val="continue"/>
            <w:tcBorders>
              <w:top w:val="single" w:color="000000" w:sz="4" w:space="0"/>
              <w:left w:val="single" w:color="000000" w:sz="4" w:space="0"/>
              <w:bottom w:val="nil"/>
              <w:right w:val="single" w:color="000000" w:sz="4" w:space="0"/>
            </w:tcBorders>
            <w:shd w:val="clear" w:color="auto" w:fill="auto"/>
            <w:vAlign w:val="center"/>
          </w:tcPr>
          <w:p w14:paraId="6A41ED25">
            <w:pPr>
              <w:jc w:val="center"/>
              <w:rPr>
                <w:rFonts w:hint="eastAsia" w:ascii="宋体" w:hAnsi="宋体" w:eastAsia="宋体" w:cs="宋体"/>
                <w:i w:val="0"/>
                <w:iCs w:val="0"/>
                <w:color w:val="000000"/>
                <w:sz w:val="18"/>
                <w:szCs w:val="18"/>
                <w:u w:val="none" w:color="auto"/>
              </w:rPr>
            </w:pPr>
          </w:p>
        </w:tc>
        <w:tc>
          <w:tcPr>
            <w:tcW w:w="1070" w:type="dxa"/>
            <w:vMerge w:val="restart"/>
            <w:tcBorders>
              <w:top w:val="single" w:color="000000" w:sz="4" w:space="0"/>
              <w:left w:val="single" w:color="000000" w:sz="4" w:space="0"/>
              <w:bottom w:val="nil"/>
              <w:right w:val="single" w:color="000000" w:sz="4" w:space="0"/>
            </w:tcBorders>
            <w:shd w:val="clear" w:color="auto" w:fill="auto"/>
            <w:vAlign w:val="center"/>
          </w:tcPr>
          <w:p w14:paraId="0C373E6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效益指标</w:t>
            </w:r>
          </w:p>
        </w:tc>
        <w:tc>
          <w:tcPr>
            <w:tcW w:w="707"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6A429EE1">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社会效益</w:t>
            </w:r>
          </w:p>
        </w:tc>
        <w:tc>
          <w:tcPr>
            <w:tcW w:w="788" w:type="dxa"/>
            <w:gridSpan w:val="3"/>
            <w:tcBorders>
              <w:top w:val="single" w:color="000000" w:sz="4" w:space="0"/>
              <w:left w:val="single" w:color="000000" w:sz="4" w:space="0"/>
              <w:bottom w:val="nil"/>
              <w:right w:val="single" w:color="000000" w:sz="4" w:space="0"/>
            </w:tcBorders>
            <w:shd w:val="clear" w:color="auto" w:fill="auto"/>
            <w:vAlign w:val="center"/>
          </w:tcPr>
          <w:p w14:paraId="63AAEEA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考务工作水平</w:t>
            </w:r>
          </w:p>
        </w:tc>
        <w:tc>
          <w:tcPr>
            <w:tcW w:w="474" w:type="dxa"/>
            <w:tcBorders>
              <w:top w:val="single" w:color="000000" w:sz="4" w:space="0"/>
              <w:left w:val="single" w:color="000000" w:sz="4" w:space="0"/>
              <w:bottom w:val="nil"/>
              <w:right w:val="single" w:color="000000" w:sz="4" w:space="0"/>
            </w:tcBorders>
            <w:shd w:val="clear" w:color="auto" w:fill="auto"/>
            <w:vAlign w:val="center"/>
          </w:tcPr>
          <w:p w14:paraId="7D7268D6">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定性</w:t>
            </w:r>
          </w:p>
        </w:tc>
        <w:tc>
          <w:tcPr>
            <w:tcW w:w="474" w:type="dxa"/>
            <w:gridSpan w:val="2"/>
            <w:tcBorders>
              <w:top w:val="single" w:color="000000" w:sz="4" w:space="0"/>
              <w:left w:val="single" w:color="000000" w:sz="4" w:space="0"/>
              <w:bottom w:val="nil"/>
              <w:right w:val="single" w:color="000000" w:sz="4" w:space="0"/>
            </w:tcBorders>
            <w:shd w:val="clear" w:color="auto" w:fill="auto"/>
            <w:vAlign w:val="center"/>
          </w:tcPr>
          <w:p w14:paraId="14380B3F">
            <w:pPr>
              <w:jc w:val="center"/>
              <w:rPr>
                <w:rFonts w:hint="eastAsia" w:ascii="宋体" w:hAnsi="宋体" w:eastAsia="宋体" w:cs="宋体"/>
                <w:i w:val="0"/>
                <w:iCs w:val="0"/>
                <w:color w:val="000000"/>
                <w:sz w:val="18"/>
                <w:szCs w:val="18"/>
                <w:u w:val="none" w:color="auto"/>
              </w:rPr>
            </w:pPr>
          </w:p>
        </w:tc>
        <w:tc>
          <w:tcPr>
            <w:tcW w:w="700" w:type="dxa"/>
            <w:gridSpan w:val="2"/>
            <w:tcBorders>
              <w:top w:val="single" w:color="000000" w:sz="4" w:space="0"/>
              <w:left w:val="single" w:color="000000" w:sz="4" w:space="0"/>
              <w:bottom w:val="nil"/>
              <w:right w:val="single" w:color="000000" w:sz="4" w:space="0"/>
            </w:tcBorders>
            <w:shd w:val="clear" w:color="auto" w:fill="auto"/>
            <w:vAlign w:val="center"/>
          </w:tcPr>
          <w:p w14:paraId="22D371A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进一步规范</w:t>
            </w:r>
          </w:p>
        </w:tc>
        <w:tc>
          <w:tcPr>
            <w:tcW w:w="739" w:type="dxa"/>
            <w:gridSpan w:val="2"/>
            <w:tcBorders>
              <w:top w:val="single" w:color="000000" w:sz="4" w:space="0"/>
              <w:left w:val="single" w:color="000000" w:sz="4" w:space="0"/>
              <w:bottom w:val="nil"/>
              <w:right w:val="single" w:color="000000" w:sz="4" w:space="0"/>
            </w:tcBorders>
            <w:shd w:val="clear" w:color="auto" w:fill="auto"/>
            <w:vAlign w:val="center"/>
          </w:tcPr>
          <w:p w14:paraId="0E72E051">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进一步规范</w:t>
            </w:r>
          </w:p>
        </w:tc>
        <w:tc>
          <w:tcPr>
            <w:tcW w:w="645" w:type="dxa"/>
            <w:gridSpan w:val="2"/>
            <w:tcBorders>
              <w:top w:val="single" w:color="000000" w:sz="4" w:space="0"/>
              <w:left w:val="single" w:color="000000" w:sz="4" w:space="0"/>
              <w:bottom w:val="nil"/>
              <w:right w:val="single" w:color="000000" w:sz="4" w:space="0"/>
            </w:tcBorders>
            <w:shd w:val="clear" w:color="auto" w:fill="auto"/>
            <w:vAlign w:val="center"/>
          </w:tcPr>
          <w:p w14:paraId="10131E40">
            <w:pPr>
              <w:jc w:val="center"/>
              <w:rPr>
                <w:rFonts w:hint="eastAsia" w:ascii="宋体" w:hAnsi="宋体" w:eastAsia="宋体" w:cs="宋体"/>
                <w:i w:val="0"/>
                <w:iCs w:val="0"/>
                <w:color w:val="000000"/>
                <w:sz w:val="18"/>
                <w:szCs w:val="18"/>
                <w:u w:val="none" w:color="auto"/>
              </w:rPr>
            </w:pPr>
          </w:p>
        </w:tc>
        <w:tc>
          <w:tcPr>
            <w:tcW w:w="504" w:type="dxa"/>
            <w:tcBorders>
              <w:top w:val="single" w:color="000000" w:sz="4" w:space="0"/>
              <w:left w:val="single" w:color="000000" w:sz="4" w:space="0"/>
              <w:bottom w:val="nil"/>
              <w:right w:val="single" w:color="000000" w:sz="4" w:space="0"/>
            </w:tcBorders>
            <w:shd w:val="clear" w:color="auto" w:fill="auto"/>
            <w:vAlign w:val="center"/>
          </w:tcPr>
          <w:p w14:paraId="66065FA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w:t>
            </w:r>
          </w:p>
        </w:tc>
        <w:tc>
          <w:tcPr>
            <w:tcW w:w="626" w:type="dxa"/>
            <w:gridSpan w:val="2"/>
            <w:tcBorders>
              <w:top w:val="single" w:color="000000" w:sz="4" w:space="0"/>
              <w:left w:val="single" w:color="000000" w:sz="4" w:space="0"/>
              <w:bottom w:val="nil"/>
              <w:right w:val="single" w:color="000000" w:sz="4" w:space="0"/>
            </w:tcBorders>
            <w:shd w:val="clear" w:color="auto" w:fill="auto"/>
            <w:vAlign w:val="center"/>
          </w:tcPr>
          <w:p w14:paraId="3C3D1B3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w:t>
            </w:r>
          </w:p>
        </w:tc>
        <w:tc>
          <w:tcPr>
            <w:tcW w:w="2200" w:type="dxa"/>
            <w:tcBorders>
              <w:top w:val="single" w:color="000000" w:sz="4" w:space="0"/>
              <w:left w:val="single" w:color="000000" w:sz="4" w:space="0"/>
              <w:bottom w:val="nil"/>
              <w:right w:val="single" w:color="000000" w:sz="4" w:space="0"/>
            </w:tcBorders>
            <w:shd w:val="clear" w:color="auto" w:fill="auto"/>
            <w:vAlign w:val="center"/>
          </w:tcPr>
          <w:p w14:paraId="0337FB48">
            <w:pPr>
              <w:jc w:val="center"/>
              <w:rPr>
                <w:rFonts w:hint="eastAsia" w:ascii="宋体" w:hAnsi="宋体" w:eastAsia="宋体" w:cs="宋体"/>
                <w:i w:val="0"/>
                <w:iCs w:val="0"/>
                <w:color w:val="000000"/>
                <w:sz w:val="18"/>
                <w:szCs w:val="18"/>
                <w:u w:val="none" w:color="auto"/>
              </w:rPr>
            </w:pPr>
          </w:p>
        </w:tc>
      </w:tr>
      <w:tr w14:paraId="3C683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15" w:type="dxa"/>
          <w:wAfter w:w="30" w:type="dxa"/>
          <w:trHeight w:val="840" w:hRule="atLeast"/>
        </w:trPr>
        <w:tc>
          <w:tcPr>
            <w:tcW w:w="1948" w:type="dxa"/>
            <w:gridSpan w:val="4"/>
            <w:vMerge w:val="continue"/>
            <w:tcBorders>
              <w:top w:val="single" w:color="000000" w:sz="4" w:space="0"/>
              <w:left w:val="single" w:color="000000" w:sz="4" w:space="0"/>
              <w:bottom w:val="nil"/>
              <w:right w:val="single" w:color="000000" w:sz="4" w:space="0"/>
            </w:tcBorders>
            <w:shd w:val="clear" w:color="auto" w:fill="auto"/>
            <w:vAlign w:val="center"/>
          </w:tcPr>
          <w:p w14:paraId="3A19CFA2">
            <w:pPr>
              <w:jc w:val="center"/>
              <w:rPr>
                <w:rFonts w:hint="eastAsia" w:ascii="宋体" w:hAnsi="宋体" w:eastAsia="宋体" w:cs="宋体"/>
                <w:i w:val="0"/>
                <w:iCs w:val="0"/>
                <w:color w:val="000000"/>
                <w:sz w:val="18"/>
                <w:szCs w:val="18"/>
                <w:u w:val="none" w:color="auto"/>
              </w:rPr>
            </w:pPr>
          </w:p>
        </w:tc>
        <w:tc>
          <w:tcPr>
            <w:tcW w:w="1070" w:type="dxa"/>
            <w:vMerge w:val="continue"/>
            <w:tcBorders>
              <w:top w:val="single" w:color="000000" w:sz="4" w:space="0"/>
              <w:left w:val="single" w:color="000000" w:sz="4" w:space="0"/>
              <w:bottom w:val="nil"/>
              <w:right w:val="single" w:color="000000" w:sz="4" w:space="0"/>
            </w:tcBorders>
            <w:shd w:val="clear" w:color="auto" w:fill="auto"/>
            <w:vAlign w:val="center"/>
          </w:tcPr>
          <w:p w14:paraId="555A4C77">
            <w:pPr>
              <w:jc w:val="center"/>
              <w:rPr>
                <w:rFonts w:hint="eastAsia" w:ascii="宋体" w:hAnsi="宋体" w:eastAsia="宋体" w:cs="宋体"/>
                <w:i w:val="0"/>
                <w:iCs w:val="0"/>
                <w:color w:val="000000"/>
                <w:sz w:val="18"/>
                <w:szCs w:val="18"/>
                <w:u w:val="none" w:color="auto"/>
              </w:rPr>
            </w:pPr>
          </w:p>
        </w:tc>
        <w:tc>
          <w:tcPr>
            <w:tcW w:w="707"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1842F61F">
            <w:pPr>
              <w:jc w:val="center"/>
              <w:rPr>
                <w:rFonts w:hint="eastAsia" w:ascii="宋体" w:hAnsi="宋体" w:eastAsia="宋体" w:cs="宋体"/>
                <w:i w:val="0"/>
                <w:iCs w:val="0"/>
                <w:color w:val="000000"/>
                <w:sz w:val="18"/>
                <w:szCs w:val="18"/>
                <w:u w:val="none" w:color="auto"/>
              </w:rPr>
            </w:pPr>
          </w:p>
        </w:tc>
        <w:tc>
          <w:tcPr>
            <w:tcW w:w="788" w:type="dxa"/>
            <w:gridSpan w:val="3"/>
            <w:tcBorders>
              <w:top w:val="single" w:color="000000" w:sz="4" w:space="0"/>
              <w:left w:val="single" w:color="000000" w:sz="4" w:space="0"/>
              <w:bottom w:val="nil"/>
              <w:right w:val="single" w:color="000000" w:sz="4" w:space="0"/>
            </w:tcBorders>
            <w:shd w:val="clear" w:color="auto" w:fill="auto"/>
            <w:vAlign w:val="center"/>
          </w:tcPr>
          <w:p w14:paraId="2C2FF27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专业技术资格考试工作</w:t>
            </w:r>
          </w:p>
        </w:tc>
        <w:tc>
          <w:tcPr>
            <w:tcW w:w="474" w:type="dxa"/>
            <w:tcBorders>
              <w:top w:val="single" w:color="000000" w:sz="4" w:space="0"/>
              <w:left w:val="single" w:color="000000" w:sz="4" w:space="0"/>
              <w:bottom w:val="nil"/>
              <w:right w:val="single" w:color="000000" w:sz="4" w:space="0"/>
            </w:tcBorders>
            <w:shd w:val="clear" w:color="auto" w:fill="auto"/>
            <w:vAlign w:val="center"/>
          </w:tcPr>
          <w:p w14:paraId="00DBA48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定性</w:t>
            </w:r>
          </w:p>
        </w:tc>
        <w:tc>
          <w:tcPr>
            <w:tcW w:w="474" w:type="dxa"/>
            <w:gridSpan w:val="2"/>
            <w:tcBorders>
              <w:top w:val="single" w:color="000000" w:sz="4" w:space="0"/>
              <w:left w:val="single" w:color="000000" w:sz="4" w:space="0"/>
              <w:bottom w:val="nil"/>
              <w:right w:val="single" w:color="000000" w:sz="4" w:space="0"/>
            </w:tcBorders>
            <w:shd w:val="clear" w:color="auto" w:fill="auto"/>
            <w:vAlign w:val="center"/>
          </w:tcPr>
          <w:p w14:paraId="46B3CBDB">
            <w:pPr>
              <w:jc w:val="center"/>
              <w:rPr>
                <w:rFonts w:hint="eastAsia" w:ascii="宋体" w:hAnsi="宋体" w:eastAsia="宋体" w:cs="宋体"/>
                <w:i w:val="0"/>
                <w:iCs w:val="0"/>
                <w:color w:val="000000"/>
                <w:sz w:val="18"/>
                <w:szCs w:val="18"/>
                <w:u w:val="none" w:color="auto"/>
              </w:rPr>
            </w:pPr>
          </w:p>
        </w:tc>
        <w:tc>
          <w:tcPr>
            <w:tcW w:w="700" w:type="dxa"/>
            <w:gridSpan w:val="2"/>
            <w:tcBorders>
              <w:top w:val="single" w:color="000000" w:sz="4" w:space="0"/>
              <w:left w:val="single" w:color="000000" w:sz="4" w:space="0"/>
              <w:bottom w:val="nil"/>
              <w:right w:val="single" w:color="000000" w:sz="4" w:space="0"/>
            </w:tcBorders>
            <w:shd w:val="clear" w:color="auto" w:fill="auto"/>
            <w:vAlign w:val="center"/>
          </w:tcPr>
          <w:p w14:paraId="105A764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进一步规范</w:t>
            </w:r>
          </w:p>
        </w:tc>
        <w:tc>
          <w:tcPr>
            <w:tcW w:w="739" w:type="dxa"/>
            <w:gridSpan w:val="2"/>
            <w:tcBorders>
              <w:top w:val="single" w:color="000000" w:sz="4" w:space="0"/>
              <w:left w:val="single" w:color="000000" w:sz="4" w:space="0"/>
              <w:bottom w:val="nil"/>
              <w:right w:val="single" w:color="000000" w:sz="4" w:space="0"/>
            </w:tcBorders>
            <w:shd w:val="clear" w:color="auto" w:fill="auto"/>
            <w:vAlign w:val="center"/>
          </w:tcPr>
          <w:p w14:paraId="29B4D07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进一步规范</w:t>
            </w:r>
          </w:p>
        </w:tc>
        <w:tc>
          <w:tcPr>
            <w:tcW w:w="645" w:type="dxa"/>
            <w:gridSpan w:val="2"/>
            <w:tcBorders>
              <w:top w:val="single" w:color="000000" w:sz="4" w:space="0"/>
              <w:left w:val="single" w:color="000000" w:sz="4" w:space="0"/>
              <w:bottom w:val="nil"/>
              <w:right w:val="single" w:color="000000" w:sz="4" w:space="0"/>
            </w:tcBorders>
            <w:shd w:val="clear" w:color="auto" w:fill="auto"/>
            <w:vAlign w:val="center"/>
          </w:tcPr>
          <w:p w14:paraId="566B5293">
            <w:pPr>
              <w:jc w:val="center"/>
              <w:rPr>
                <w:rFonts w:hint="eastAsia" w:ascii="宋体" w:hAnsi="宋体" w:eastAsia="宋体" w:cs="宋体"/>
                <w:i w:val="0"/>
                <w:iCs w:val="0"/>
                <w:color w:val="000000"/>
                <w:sz w:val="18"/>
                <w:szCs w:val="18"/>
                <w:u w:val="none" w:color="auto"/>
              </w:rPr>
            </w:pPr>
          </w:p>
        </w:tc>
        <w:tc>
          <w:tcPr>
            <w:tcW w:w="504" w:type="dxa"/>
            <w:tcBorders>
              <w:top w:val="single" w:color="000000" w:sz="4" w:space="0"/>
              <w:left w:val="single" w:color="000000" w:sz="4" w:space="0"/>
              <w:bottom w:val="nil"/>
              <w:right w:val="single" w:color="000000" w:sz="4" w:space="0"/>
            </w:tcBorders>
            <w:shd w:val="clear" w:color="auto" w:fill="auto"/>
            <w:vAlign w:val="center"/>
          </w:tcPr>
          <w:p w14:paraId="6EEE0E0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w:t>
            </w:r>
          </w:p>
        </w:tc>
        <w:tc>
          <w:tcPr>
            <w:tcW w:w="626" w:type="dxa"/>
            <w:gridSpan w:val="2"/>
            <w:tcBorders>
              <w:top w:val="single" w:color="000000" w:sz="4" w:space="0"/>
              <w:left w:val="single" w:color="000000" w:sz="4" w:space="0"/>
              <w:bottom w:val="nil"/>
              <w:right w:val="single" w:color="000000" w:sz="4" w:space="0"/>
            </w:tcBorders>
            <w:shd w:val="clear" w:color="auto" w:fill="auto"/>
            <w:vAlign w:val="center"/>
          </w:tcPr>
          <w:p w14:paraId="7916AE81">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w:t>
            </w:r>
          </w:p>
        </w:tc>
        <w:tc>
          <w:tcPr>
            <w:tcW w:w="2200" w:type="dxa"/>
            <w:tcBorders>
              <w:top w:val="single" w:color="000000" w:sz="4" w:space="0"/>
              <w:left w:val="single" w:color="000000" w:sz="4" w:space="0"/>
              <w:bottom w:val="nil"/>
              <w:right w:val="single" w:color="000000" w:sz="4" w:space="0"/>
            </w:tcBorders>
            <w:shd w:val="clear" w:color="auto" w:fill="auto"/>
            <w:vAlign w:val="center"/>
          </w:tcPr>
          <w:p w14:paraId="7B60CC2A">
            <w:pPr>
              <w:jc w:val="center"/>
              <w:rPr>
                <w:rFonts w:hint="eastAsia" w:ascii="宋体" w:hAnsi="宋体" w:eastAsia="宋体" w:cs="宋体"/>
                <w:i w:val="0"/>
                <w:iCs w:val="0"/>
                <w:color w:val="000000"/>
                <w:sz w:val="18"/>
                <w:szCs w:val="18"/>
                <w:u w:val="none" w:color="auto"/>
              </w:rPr>
            </w:pPr>
          </w:p>
        </w:tc>
      </w:tr>
      <w:tr w14:paraId="02B43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15" w:type="dxa"/>
          <w:wAfter w:w="30" w:type="dxa"/>
          <w:trHeight w:val="840" w:hRule="atLeast"/>
        </w:trPr>
        <w:tc>
          <w:tcPr>
            <w:tcW w:w="1948" w:type="dxa"/>
            <w:gridSpan w:val="4"/>
            <w:vMerge w:val="continue"/>
            <w:tcBorders>
              <w:top w:val="single" w:color="000000" w:sz="4" w:space="0"/>
              <w:left w:val="single" w:color="000000" w:sz="4" w:space="0"/>
              <w:bottom w:val="nil"/>
              <w:right w:val="single" w:color="000000" w:sz="4" w:space="0"/>
            </w:tcBorders>
            <w:shd w:val="clear" w:color="auto" w:fill="auto"/>
            <w:vAlign w:val="center"/>
          </w:tcPr>
          <w:p w14:paraId="7F34E3E0">
            <w:pPr>
              <w:jc w:val="center"/>
              <w:rPr>
                <w:rFonts w:hint="eastAsia" w:ascii="宋体" w:hAnsi="宋体" w:eastAsia="宋体" w:cs="宋体"/>
                <w:i w:val="0"/>
                <w:iCs w:val="0"/>
                <w:color w:val="000000"/>
                <w:sz w:val="18"/>
                <w:szCs w:val="18"/>
                <w:u w:val="none" w:color="auto"/>
              </w:rPr>
            </w:pPr>
          </w:p>
        </w:tc>
        <w:tc>
          <w:tcPr>
            <w:tcW w:w="1070" w:type="dxa"/>
            <w:vMerge w:val="continue"/>
            <w:tcBorders>
              <w:top w:val="single" w:color="000000" w:sz="4" w:space="0"/>
              <w:left w:val="single" w:color="000000" w:sz="4" w:space="0"/>
              <w:bottom w:val="nil"/>
              <w:right w:val="single" w:color="000000" w:sz="4" w:space="0"/>
            </w:tcBorders>
            <w:shd w:val="clear" w:color="auto" w:fill="auto"/>
            <w:vAlign w:val="center"/>
          </w:tcPr>
          <w:p w14:paraId="06585D89">
            <w:pPr>
              <w:jc w:val="center"/>
              <w:rPr>
                <w:rFonts w:hint="eastAsia" w:ascii="宋体" w:hAnsi="宋体" w:eastAsia="宋体" w:cs="宋体"/>
                <w:i w:val="0"/>
                <w:iCs w:val="0"/>
                <w:color w:val="000000"/>
                <w:sz w:val="18"/>
                <w:szCs w:val="18"/>
                <w:u w:val="none" w:color="auto"/>
              </w:rPr>
            </w:pPr>
          </w:p>
        </w:tc>
        <w:tc>
          <w:tcPr>
            <w:tcW w:w="707" w:type="dxa"/>
            <w:gridSpan w:val="2"/>
            <w:tcBorders>
              <w:top w:val="single" w:color="000000" w:sz="4" w:space="0"/>
              <w:left w:val="single" w:color="000000" w:sz="4" w:space="0"/>
              <w:bottom w:val="nil"/>
              <w:right w:val="single" w:color="000000" w:sz="4" w:space="0"/>
            </w:tcBorders>
            <w:shd w:val="clear" w:color="auto" w:fill="auto"/>
            <w:vAlign w:val="center"/>
          </w:tcPr>
          <w:p w14:paraId="4786525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可持续影响</w:t>
            </w:r>
          </w:p>
        </w:tc>
        <w:tc>
          <w:tcPr>
            <w:tcW w:w="788" w:type="dxa"/>
            <w:gridSpan w:val="3"/>
            <w:tcBorders>
              <w:top w:val="single" w:color="000000" w:sz="4" w:space="0"/>
              <w:left w:val="single" w:color="000000" w:sz="4" w:space="0"/>
              <w:bottom w:val="nil"/>
              <w:right w:val="single" w:color="000000" w:sz="4" w:space="0"/>
            </w:tcBorders>
            <w:shd w:val="clear" w:color="auto" w:fill="auto"/>
            <w:vAlign w:val="center"/>
          </w:tcPr>
          <w:p w14:paraId="46CC32D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项目持续发挥作用期限</w:t>
            </w:r>
          </w:p>
        </w:tc>
        <w:tc>
          <w:tcPr>
            <w:tcW w:w="474" w:type="dxa"/>
            <w:tcBorders>
              <w:top w:val="single" w:color="000000" w:sz="4" w:space="0"/>
              <w:left w:val="single" w:color="000000" w:sz="4" w:space="0"/>
              <w:bottom w:val="nil"/>
              <w:right w:val="single" w:color="000000" w:sz="4" w:space="0"/>
            </w:tcBorders>
            <w:shd w:val="clear" w:color="auto" w:fill="auto"/>
            <w:vAlign w:val="center"/>
          </w:tcPr>
          <w:p w14:paraId="5EE8777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定性</w:t>
            </w:r>
          </w:p>
        </w:tc>
        <w:tc>
          <w:tcPr>
            <w:tcW w:w="474" w:type="dxa"/>
            <w:gridSpan w:val="2"/>
            <w:tcBorders>
              <w:top w:val="single" w:color="000000" w:sz="4" w:space="0"/>
              <w:left w:val="single" w:color="000000" w:sz="4" w:space="0"/>
              <w:bottom w:val="nil"/>
              <w:right w:val="single" w:color="000000" w:sz="4" w:space="0"/>
            </w:tcBorders>
            <w:shd w:val="clear" w:color="auto" w:fill="auto"/>
            <w:vAlign w:val="center"/>
          </w:tcPr>
          <w:p w14:paraId="4E4BDD59">
            <w:pPr>
              <w:jc w:val="center"/>
              <w:rPr>
                <w:rFonts w:hint="eastAsia" w:ascii="宋体" w:hAnsi="宋体" w:eastAsia="宋体" w:cs="宋体"/>
                <w:i w:val="0"/>
                <w:iCs w:val="0"/>
                <w:color w:val="000000"/>
                <w:sz w:val="18"/>
                <w:szCs w:val="18"/>
                <w:u w:val="none" w:color="auto"/>
              </w:rPr>
            </w:pPr>
          </w:p>
        </w:tc>
        <w:tc>
          <w:tcPr>
            <w:tcW w:w="700" w:type="dxa"/>
            <w:gridSpan w:val="2"/>
            <w:tcBorders>
              <w:top w:val="single" w:color="000000" w:sz="4" w:space="0"/>
              <w:left w:val="single" w:color="000000" w:sz="4" w:space="0"/>
              <w:bottom w:val="nil"/>
              <w:right w:val="single" w:color="000000" w:sz="4" w:space="0"/>
            </w:tcBorders>
            <w:shd w:val="clear" w:color="auto" w:fill="auto"/>
            <w:vAlign w:val="center"/>
          </w:tcPr>
          <w:p w14:paraId="77884E8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长期</w:t>
            </w:r>
          </w:p>
        </w:tc>
        <w:tc>
          <w:tcPr>
            <w:tcW w:w="739" w:type="dxa"/>
            <w:gridSpan w:val="2"/>
            <w:tcBorders>
              <w:top w:val="single" w:color="000000" w:sz="4" w:space="0"/>
              <w:left w:val="single" w:color="000000" w:sz="4" w:space="0"/>
              <w:bottom w:val="nil"/>
              <w:right w:val="single" w:color="000000" w:sz="4" w:space="0"/>
            </w:tcBorders>
            <w:shd w:val="clear" w:color="auto" w:fill="auto"/>
            <w:vAlign w:val="center"/>
          </w:tcPr>
          <w:p w14:paraId="76BCDD7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长期</w:t>
            </w:r>
          </w:p>
        </w:tc>
        <w:tc>
          <w:tcPr>
            <w:tcW w:w="645" w:type="dxa"/>
            <w:gridSpan w:val="2"/>
            <w:tcBorders>
              <w:top w:val="single" w:color="000000" w:sz="4" w:space="0"/>
              <w:left w:val="single" w:color="000000" w:sz="4" w:space="0"/>
              <w:bottom w:val="nil"/>
              <w:right w:val="single" w:color="000000" w:sz="4" w:space="0"/>
            </w:tcBorders>
            <w:shd w:val="clear" w:color="auto" w:fill="auto"/>
            <w:vAlign w:val="center"/>
          </w:tcPr>
          <w:p w14:paraId="4AEA5C1C">
            <w:pPr>
              <w:jc w:val="center"/>
              <w:rPr>
                <w:rFonts w:hint="eastAsia" w:ascii="宋体" w:hAnsi="宋体" w:eastAsia="宋体" w:cs="宋体"/>
                <w:i w:val="0"/>
                <w:iCs w:val="0"/>
                <w:color w:val="000000"/>
                <w:sz w:val="18"/>
                <w:szCs w:val="18"/>
                <w:u w:val="none" w:color="auto"/>
              </w:rPr>
            </w:pPr>
          </w:p>
        </w:tc>
        <w:tc>
          <w:tcPr>
            <w:tcW w:w="504" w:type="dxa"/>
            <w:tcBorders>
              <w:top w:val="single" w:color="000000" w:sz="4" w:space="0"/>
              <w:left w:val="single" w:color="000000" w:sz="4" w:space="0"/>
              <w:bottom w:val="nil"/>
              <w:right w:val="single" w:color="000000" w:sz="4" w:space="0"/>
            </w:tcBorders>
            <w:shd w:val="clear" w:color="auto" w:fill="auto"/>
            <w:vAlign w:val="center"/>
          </w:tcPr>
          <w:p w14:paraId="2775A42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w:t>
            </w:r>
          </w:p>
        </w:tc>
        <w:tc>
          <w:tcPr>
            <w:tcW w:w="626" w:type="dxa"/>
            <w:gridSpan w:val="2"/>
            <w:tcBorders>
              <w:top w:val="single" w:color="000000" w:sz="4" w:space="0"/>
              <w:left w:val="single" w:color="000000" w:sz="4" w:space="0"/>
              <w:bottom w:val="nil"/>
              <w:right w:val="single" w:color="000000" w:sz="4" w:space="0"/>
            </w:tcBorders>
            <w:shd w:val="clear" w:color="auto" w:fill="auto"/>
            <w:vAlign w:val="center"/>
          </w:tcPr>
          <w:p w14:paraId="397C7986">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w:t>
            </w:r>
          </w:p>
        </w:tc>
        <w:tc>
          <w:tcPr>
            <w:tcW w:w="2200" w:type="dxa"/>
            <w:tcBorders>
              <w:top w:val="single" w:color="000000" w:sz="4" w:space="0"/>
              <w:left w:val="single" w:color="000000" w:sz="4" w:space="0"/>
              <w:bottom w:val="nil"/>
              <w:right w:val="single" w:color="000000" w:sz="4" w:space="0"/>
            </w:tcBorders>
            <w:shd w:val="clear" w:color="auto" w:fill="auto"/>
            <w:vAlign w:val="center"/>
          </w:tcPr>
          <w:p w14:paraId="165F3309">
            <w:pPr>
              <w:jc w:val="center"/>
              <w:rPr>
                <w:rFonts w:hint="eastAsia" w:ascii="宋体" w:hAnsi="宋体" w:eastAsia="宋体" w:cs="宋体"/>
                <w:i w:val="0"/>
                <w:iCs w:val="0"/>
                <w:color w:val="000000"/>
                <w:sz w:val="18"/>
                <w:szCs w:val="18"/>
                <w:u w:val="none" w:color="auto"/>
              </w:rPr>
            </w:pPr>
          </w:p>
        </w:tc>
      </w:tr>
      <w:tr w14:paraId="6D3CE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15" w:type="dxa"/>
          <w:wAfter w:w="30" w:type="dxa"/>
          <w:trHeight w:val="840" w:hRule="atLeast"/>
        </w:trPr>
        <w:tc>
          <w:tcPr>
            <w:tcW w:w="1948" w:type="dxa"/>
            <w:gridSpan w:val="4"/>
            <w:vMerge w:val="continue"/>
            <w:tcBorders>
              <w:top w:val="single" w:color="000000" w:sz="4" w:space="0"/>
              <w:left w:val="single" w:color="000000" w:sz="4" w:space="0"/>
              <w:bottom w:val="nil"/>
              <w:right w:val="single" w:color="000000" w:sz="4" w:space="0"/>
            </w:tcBorders>
            <w:shd w:val="clear" w:color="auto" w:fill="auto"/>
            <w:vAlign w:val="center"/>
          </w:tcPr>
          <w:p w14:paraId="5D51A750">
            <w:pPr>
              <w:jc w:val="center"/>
              <w:rPr>
                <w:rFonts w:hint="eastAsia" w:ascii="宋体" w:hAnsi="宋体" w:eastAsia="宋体" w:cs="宋体"/>
                <w:i w:val="0"/>
                <w:iCs w:val="0"/>
                <w:color w:val="000000"/>
                <w:sz w:val="18"/>
                <w:szCs w:val="18"/>
                <w:u w:val="none" w:color="auto"/>
              </w:rPr>
            </w:pPr>
          </w:p>
        </w:tc>
        <w:tc>
          <w:tcPr>
            <w:tcW w:w="1070" w:type="dxa"/>
            <w:vMerge w:val="restart"/>
            <w:tcBorders>
              <w:top w:val="single" w:color="000000" w:sz="4" w:space="0"/>
              <w:left w:val="single" w:color="000000" w:sz="4" w:space="0"/>
              <w:bottom w:val="nil"/>
              <w:right w:val="single" w:color="000000" w:sz="4" w:space="0"/>
            </w:tcBorders>
            <w:shd w:val="clear" w:color="auto" w:fill="auto"/>
            <w:vAlign w:val="center"/>
          </w:tcPr>
          <w:p w14:paraId="7E8149E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满意度指标</w:t>
            </w:r>
          </w:p>
        </w:tc>
        <w:tc>
          <w:tcPr>
            <w:tcW w:w="707"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44034AE6">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服务对象满意度</w:t>
            </w:r>
          </w:p>
        </w:tc>
        <w:tc>
          <w:tcPr>
            <w:tcW w:w="788" w:type="dxa"/>
            <w:gridSpan w:val="3"/>
            <w:tcBorders>
              <w:top w:val="single" w:color="000000" w:sz="4" w:space="0"/>
              <w:left w:val="single" w:color="000000" w:sz="4" w:space="0"/>
              <w:bottom w:val="nil"/>
              <w:right w:val="single" w:color="000000" w:sz="4" w:space="0"/>
            </w:tcBorders>
            <w:shd w:val="clear" w:color="auto" w:fill="auto"/>
            <w:vAlign w:val="center"/>
          </w:tcPr>
          <w:p w14:paraId="3BD8E76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主管部门满意度</w:t>
            </w:r>
          </w:p>
        </w:tc>
        <w:tc>
          <w:tcPr>
            <w:tcW w:w="474" w:type="dxa"/>
            <w:tcBorders>
              <w:top w:val="single" w:color="000000" w:sz="4" w:space="0"/>
              <w:left w:val="single" w:color="000000" w:sz="4" w:space="0"/>
              <w:bottom w:val="nil"/>
              <w:right w:val="single" w:color="000000" w:sz="4" w:space="0"/>
            </w:tcBorders>
            <w:shd w:val="clear" w:color="auto" w:fill="auto"/>
            <w:vAlign w:val="center"/>
          </w:tcPr>
          <w:p w14:paraId="29B958A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474" w:type="dxa"/>
            <w:gridSpan w:val="2"/>
            <w:tcBorders>
              <w:top w:val="single" w:color="000000" w:sz="4" w:space="0"/>
              <w:left w:val="single" w:color="000000" w:sz="4" w:space="0"/>
              <w:bottom w:val="nil"/>
              <w:right w:val="single" w:color="000000" w:sz="4" w:space="0"/>
            </w:tcBorders>
            <w:shd w:val="clear" w:color="auto" w:fill="auto"/>
            <w:vAlign w:val="center"/>
          </w:tcPr>
          <w:p w14:paraId="36682A3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大于等于</w:t>
            </w:r>
          </w:p>
        </w:tc>
        <w:tc>
          <w:tcPr>
            <w:tcW w:w="700" w:type="dxa"/>
            <w:gridSpan w:val="2"/>
            <w:tcBorders>
              <w:top w:val="single" w:color="000000" w:sz="4" w:space="0"/>
              <w:left w:val="single" w:color="000000" w:sz="4" w:space="0"/>
              <w:bottom w:val="nil"/>
              <w:right w:val="single" w:color="000000" w:sz="4" w:space="0"/>
            </w:tcBorders>
            <w:shd w:val="clear" w:color="auto" w:fill="auto"/>
            <w:vAlign w:val="center"/>
          </w:tcPr>
          <w:p w14:paraId="77EC0571">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95</w:t>
            </w:r>
          </w:p>
        </w:tc>
        <w:tc>
          <w:tcPr>
            <w:tcW w:w="739" w:type="dxa"/>
            <w:gridSpan w:val="2"/>
            <w:tcBorders>
              <w:top w:val="single" w:color="000000" w:sz="4" w:space="0"/>
              <w:left w:val="single" w:color="000000" w:sz="4" w:space="0"/>
              <w:bottom w:val="nil"/>
              <w:right w:val="single" w:color="000000" w:sz="4" w:space="0"/>
            </w:tcBorders>
            <w:shd w:val="clear" w:color="auto" w:fill="auto"/>
            <w:vAlign w:val="center"/>
          </w:tcPr>
          <w:p w14:paraId="06756A56">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95</w:t>
            </w:r>
          </w:p>
        </w:tc>
        <w:tc>
          <w:tcPr>
            <w:tcW w:w="645" w:type="dxa"/>
            <w:gridSpan w:val="2"/>
            <w:tcBorders>
              <w:top w:val="single" w:color="000000" w:sz="4" w:space="0"/>
              <w:left w:val="single" w:color="000000" w:sz="4" w:space="0"/>
              <w:bottom w:val="nil"/>
              <w:right w:val="single" w:color="000000" w:sz="4" w:space="0"/>
            </w:tcBorders>
            <w:shd w:val="clear" w:color="auto" w:fill="auto"/>
            <w:vAlign w:val="center"/>
          </w:tcPr>
          <w:p w14:paraId="4E6B1EA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w:t>
            </w:r>
          </w:p>
        </w:tc>
        <w:tc>
          <w:tcPr>
            <w:tcW w:w="504" w:type="dxa"/>
            <w:tcBorders>
              <w:top w:val="single" w:color="000000" w:sz="4" w:space="0"/>
              <w:left w:val="single" w:color="000000" w:sz="4" w:space="0"/>
              <w:bottom w:val="nil"/>
              <w:right w:val="single" w:color="000000" w:sz="4" w:space="0"/>
            </w:tcBorders>
            <w:shd w:val="clear" w:color="auto" w:fill="auto"/>
            <w:vAlign w:val="center"/>
          </w:tcPr>
          <w:p w14:paraId="31F2235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626" w:type="dxa"/>
            <w:gridSpan w:val="2"/>
            <w:tcBorders>
              <w:top w:val="single" w:color="000000" w:sz="4" w:space="0"/>
              <w:left w:val="single" w:color="000000" w:sz="4" w:space="0"/>
              <w:bottom w:val="nil"/>
              <w:right w:val="single" w:color="000000" w:sz="4" w:space="0"/>
            </w:tcBorders>
            <w:shd w:val="clear" w:color="auto" w:fill="auto"/>
            <w:vAlign w:val="center"/>
          </w:tcPr>
          <w:p w14:paraId="486748F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2200" w:type="dxa"/>
            <w:tcBorders>
              <w:top w:val="single" w:color="000000" w:sz="4" w:space="0"/>
              <w:left w:val="single" w:color="000000" w:sz="4" w:space="0"/>
              <w:bottom w:val="nil"/>
              <w:right w:val="single" w:color="000000" w:sz="4" w:space="0"/>
            </w:tcBorders>
            <w:shd w:val="clear" w:color="auto" w:fill="auto"/>
            <w:vAlign w:val="center"/>
          </w:tcPr>
          <w:p w14:paraId="0BA820CB">
            <w:pPr>
              <w:jc w:val="center"/>
              <w:rPr>
                <w:rFonts w:hint="eastAsia" w:ascii="宋体" w:hAnsi="宋体" w:eastAsia="宋体" w:cs="宋体"/>
                <w:i w:val="0"/>
                <w:iCs w:val="0"/>
                <w:color w:val="000000"/>
                <w:sz w:val="18"/>
                <w:szCs w:val="18"/>
                <w:u w:val="none" w:color="auto"/>
              </w:rPr>
            </w:pPr>
          </w:p>
        </w:tc>
      </w:tr>
      <w:tr w14:paraId="5460F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15" w:type="dxa"/>
          <w:wAfter w:w="30" w:type="dxa"/>
          <w:trHeight w:val="840" w:hRule="atLeast"/>
        </w:trPr>
        <w:tc>
          <w:tcPr>
            <w:tcW w:w="1948" w:type="dxa"/>
            <w:gridSpan w:val="4"/>
            <w:vMerge w:val="continue"/>
            <w:tcBorders>
              <w:top w:val="single" w:color="000000" w:sz="4" w:space="0"/>
              <w:left w:val="single" w:color="000000" w:sz="4" w:space="0"/>
              <w:bottom w:val="nil"/>
              <w:right w:val="single" w:color="000000" w:sz="4" w:space="0"/>
            </w:tcBorders>
            <w:shd w:val="clear" w:color="auto" w:fill="auto"/>
            <w:vAlign w:val="center"/>
          </w:tcPr>
          <w:p w14:paraId="45C00F39">
            <w:pPr>
              <w:jc w:val="center"/>
              <w:rPr>
                <w:rFonts w:hint="eastAsia" w:ascii="宋体" w:hAnsi="宋体" w:eastAsia="宋体" w:cs="宋体"/>
                <w:i w:val="0"/>
                <w:iCs w:val="0"/>
                <w:color w:val="000000"/>
                <w:sz w:val="18"/>
                <w:szCs w:val="18"/>
                <w:u w:val="none" w:color="auto"/>
              </w:rPr>
            </w:pPr>
          </w:p>
        </w:tc>
        <w:tc>
          <w:tcPr>
            <w:tcW w:w="1070" w:type="dxa"/>
            <w:vMerge w:val="continue"/>
            <w:tcBorders>
              <w:top w:val="single" w:color="000000" w:sz="4" w:space="0"/>
              <w:left w:val="single" w:color="000000" w:sz="4" w:space="0"/>
              <w:bottom w:val="nil"/>
              <w:right w:val="single" w:color="000000" w:sz="4" w:space="0"/>
            </w:tcBorders>
            <w:shd w:val="clear" w:color="auto" w:fill="auto"/>
            <w:vAlign w:val="center"/>
          </w:tcPr>
          <w:p w14:paraId="08FA2781">
            <w:pPr>
              <w:jc w:val="center"/>
              <w:rPr>
                <w:rFonts w:hint="eastAsia" w:ascii="宋体" w:hAnsi="宋体" w:eastAsia="宋体" w:cs="宋体"/>
                <w:i w:val="0"/>
                <w:iCs w:val="0"/>
                <w:color w:val="000000"/>
                <w:sz w:val="18"/>
                <w:szCs w:val="18"/>
                <w:u w:val="none" w:color="auto"/>
              </w:rPr>
            </w:pPr>
          </w:p>
        </w:tc>
        <w:tc>
          <w:tcPr>
            <w:tcW w:w="707"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5AE921CF">
            <w:pPr>
              <w:jc w:val="center"/>
              <w:rPr>
                <w:rFonts w:hint="eastAsia" w:ascii="宋体" w:hAnsi="宋体" w:eastAsia="宋体" w:cs="宋体"/>
                <w:i w:val="0"/>
                <w:iCs w:val="0"/>
                <w:color w:val="000000"/>
                <w:sz w:val="18"/>
                <w:szCs w:val="18"/>
                <w:u w:val="none" w:color="auto"/>
              </w:rPr>
            </w:pPr>
          </w:p>
        </w:tc>
        <w:tc>
          <w:tcPr>
            <w:tcW w:w="788" w:type="dxa"/>
            <w:gridSpan w:val="3"/>
            <w:tcBorders>
              <w:top w:val="single" w:color="000000" w:sz="4" w:space="0"/>
              <w:left w:val="single" w:color="000000" w:sz="4" w:space="0"/>
              <w:bottom w:val="nil"/>
              <w:right w:val="single" w:color="000000" w:sz="4" w:space="0"/>
            </w:tcBorders>
            <w:shd w:val="clear" w:color="auto" w:fill="auto"/>
            <w:vAlign w:val="center"/>
          </w:tcPr>
          <w:p w14:paraId="6076975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考试人员满意度</w:t>
            </w:r>
          </w:p>
        </w:tc>
        <w:tc>
          <w:tcPr>
            <w:tcW w:w="474" w:type="dxa"/>
            <w:tcBorders>
              <w:top w:val="single" w:color="000000" w:sz="4" w:space="0"/>
              <w:left w:val="single" w:color="000000" w:sz="4" w:space="0"/>
              <w:bottom w:val="nil"/>
              <w:right w:val="single" w:color="000000" w:sz="4" w:space="0"/>
            </w:tcBorders>
            <w:shd w:val="clear" w:color="auto" w:fill="auto"/>
            <w:vAlign w:val="center"/>
          </w:tcPr>
          <w:p w14:paraId="640458B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474" w:type="dxa"/>
            <w:gridSpan w:val="2"/>
            <w:tcBorders>
              <w:top w:val="single" w:color="000000" w:sz="4" w:space="0"/>
              <w:left w:val="single" w:color="000000" w:sz="4" w:space="0"/>
              <w:bottom w:val="nil"/>
              <w:right w:val="single" w:color="000000" w:sz="4" w:space="0"/>
            </w:tcBorders>
            <w:shd w:val="clear" w:color="auto" w:fill="auto"/>
            <w:vAlign w:val="center"/>
          </w:tcPr>
          <w:p w14:paraId="0759C521">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大于等于</w:t>
            </w:r>
          </w:p>
        </w:tc>
        <w:tc>
          <w:tcPr>
            <w:tcW w:w="700" w:type="dxa"/>
            <w:gridSpan w:val="2"/>
            <w:tcBorders>
              <w:top w:val="single" w:color="000000" w:sz="4" w:space="0"/>
              <w:left w:val="single" w:color="000000" w:sz="4" w:space="0"/>
              <w:bottom w:val="nil"/>
              <w:right w:val="single" w:color="000000" w:sz="4" w:space="0"/>
            </w:tcBorders>
            <w:shd w:val="clear" w:color="auto" w:fill="auto"/>
            <w:vAlign w:val="center"/>
          </w:tcPr>
          <w:p w14:paraId="5100411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95</w:t>
            </w:r>
          </w:p>
        </w:tc>
        <w:tc>
          <w:tcPr>
            <w:tcW w:w="739" w:type="dxa"/>
            <w:gridSpan w:val="2"/>
            <w:tcBorders>
              <w:top w:val="single" w:color="000000" w:sz="4" w:space="0"/>
              <w:left w:val="single" w:color="000000" w:sz="4" w:space="0"/>
              <w:bottom w:val="nil"/>
              <w:right w:val="single" w:color="000000" w:sz="4" w:space="0"/>
            </w:tcBorders>
            <w:shd w:val="clear" w:color="auto" w:fill="auto"/>
            <w:vAlign w:val="center"/>
          </w:tcPr>
          <w:p w14:paraId="746FC85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95</w:t>
            </w:r>
          </w:p>
        </w:tc>
        <w:tc>
          <w:tcPr>
            <w:tcW w:w="645" w:type="dxa"/>
            <w:gridSpan w:val="2"/>
            <w:tcBorders>
              <w:top w:val="single" w:color="000000" w:sz="4" w:space="0"/>
              <w:left w:val="single" w:color="000000" w:sz="4" w:space="0"/>
              <w:bottom w:val="nil"/>
              <w:right w:val="single" w:color="000000" w:sz="4" w:space="0"/>
            </w:tcBorders>
            <w:shd w:val="clear" w:color="auto" w:fill="auto"/>
            <w:vAlign w:val="center"/>
          </w:tcPr>
          <w:p w14:paraId="40026E4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w:t>
            </w:r>
          </w:p>
        </w:tc>
        <w:tc>
          <w:tcPr>
            <w:tcW w:w="504" w:type="dxa"/>
            <w:tcBorders>
              <w:top w:val="single" w:color="000000" w:sz="4" w:space="0"/>
              <w:left w:val="single" w:color="000000" w:sz="4" w:space="0"/>
              <w:bottom w:val="nil"/>
              <w:right w:val="single" w:color="000000" w:sz="4" w:space="0"/>
            </w:tcBorders>
            <w:shd w:val="clear" w:color="auto" w:fill="auto"/>
            <w:vAlign w:val="center"/>
          </w:tcPr>
          <w:p w14:paraId="322A93F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626" w:type="dxa"/>
            <w:gridSpan w:val="2"/>
            <w:tcBorders>
              <w:top w:val="single" w:color="000000" w:sz="4" w:space="0"/>
              <w:left w:val="single" w:color="000000" w:sz="4" w:space="0"/>
              <w:bottom w:val="nil"/>
              <w:right w:val="single" w:color="000000" w:sz="4" w:space="0"/>
            </w:tcBorders>
            <w:shd w:val="clear" w:color="auto" w:fill="auto"/>
            <w:vAlign w:val="center"/>
          </w:tcPr>
          <w:p w14:paraId="58B4B70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2200" w:type="dxa"/>
            <w:tcBorders>
              <w:top w:val="single" w:color="000000" w:sz="4" w:space="0"/>
              <w:left w:val="single" w:color="000000" w:sz="4" w:space="0"/>
              <w:bottom w:val="nil"/>
              <w:right w:val="single" w:color="000000" w:sz="4" w:space="0"/>
            </w:tcBorders>
            <w:shd w:val="clear" w:color="auto" w:fill="auto"/>
            <w:vAlign w:val="center"/>
          </w:tcPr>
          <w:p w14:paraId="307FA166">
            <w:pPr>
              <w:jc w:val="center"/>
              <w:rPr>
                <w:rFonts w:hint="eastAsia" w:ascii="宋体" w:hAnsi="宋体" w:eastAsia="宋体" w:cs="宋体"/>
                <w:i w:val="0"/>
                <w:iCs w:val="0"/>
                <w:color w:val="000000"/>
                <w:sz w:val="18"/>
                <w:szCs w:val="18"/>
                <w:u w:val="none" w:color="auto"/>
              </w:rPr>
            </w:pPr>
          </w:p>
        </w:tc>
      </w:tr>
      <w:tr w14:paraId="71CE4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1"/>
          <w:wBefore w:w="15" w:type="dxa"/>
          <w:wAfter w:w="30" w:type="dxa"/>
          <w:trHeight w:val="840" w:hRule="atLeast"/>
        </w:trPr>
        <w:tc>
          <w:tcPr>
            <w:tcW w:w="7545" w:type="dxa"/>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740242E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总分</w:t>
            </w:r>
          </w:p>
        </w:tc>
        <w:tc>
          <w:tcPr>
            <w:tcW w:w="5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76816">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100</w:t>
            </w:r>
          </w:p>
        </w:tc>
        <w:tc>
          <w:tcPr>
            <w:tcW w:w="6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F33A6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99.68</w:t>
            </w:r>
          </w:p>
        </w:tc>
        <w:tc>
          <w:tcPr>
            <w:tcW w:w="2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FB631">
            <w:pPr>
              <w:jc w:val="center"/>
              <w:rPr>
                <w:rFonts w:hint="eastAsia" w:ascii="宋体" w:hAnsi="宋体" w:eastAsia="宋体" w:cs="宋体"/>
                <w:i w:val="0"/>
                <w:iCs w:val="0"/>
                <w:color w:val="000000"/>
                <w:sz w:val="18"/>
                <w:szCs w:val="18"/>
                <w:u w:val="none" w:color="auto"/>
              </w:rPr>
            </w:pPr>
          </w:p>
        </w:tc>
      </w:tr>
    </w:tbl>
    <w:p w14:paraId="1AFE5C86">
      <w:pPr>
        <w:keepNext w:val="0"/>
        <w:keepLines w:val="0"/>
        <w:widowControl/>
        <w:suppressLineNumbers w:val="0"/>
        <w:jc w:val="left"/>
        <w:rPr>
          <w:rFonts w:hint="default" w:ascii="仿宋" w:hAnsi="仿宋" w:eastAsia="仿宋" w:cs="仿宋"/>
          <w:color w:val="auto"/>
          <w:kern w:val="2"/>
          <w:sz w:val="32"/>
          <w:szCs w:val="32"/>
          <w:u w:val="none" w:color="auto"/>
          <w:lang w:val="en-US"/>
        </w:rPr>
      </w:pPr>
    </w:p>
    <w:p w14:paraId="67FC8538">
      <w:pPr>
        <w:keepNext w:val="0"/>
        <w:keepLines w:val="0"/>
        <w:widowControl/>
        <w:suppressLineNumbers w:val="0"/>
        <w:jc w:val="left"/>
        <w:rPr>
          <w:rFonts w:hint="default" w:ascii="仿宋" w:hAnsi="仿宋" w:eastAsia="仿宋" w:cs="仿宋"/>
          <w:color w:val="auto"/>
          <w:kern w:val="2"/>
          <w:sz w:val="32"/>
          <w:szCs w:val="32"/>
          <w:u w:val="none" w:color="auto"/>
          <w:lang w:val="en-US"/>
        </w:rPr>
      </w:pPr>
    </w:p>
    <w:p w14:paraId="727B3F18">
      <w:pPr>
        <w:keepNext w:val="0"/>
        <w:keepLines w:val="0"/>
        <w:widowControl/>
        <w:suppressLineNumbers w:val="0"/>
        <w:jc w:val="left"/>
        <w:rPr>
          <w:rFonts w:hint="default" w:ascii="仿宋" w:hAnsi="仿宋" w:eastAsia="仿宋" w:cs="仿宋"/>
          <w:color w:val="auto"/>
          <w:kern w:val="2"/>
          <w:sz w:val="32"/>
          <w:szCs w:val="32"/>
          <w:u w:val="none" w:color="auto"/>
          <w:lang w:val="en-US"/>
        </w:rPr>
      </w:pPr>
    </w:p>
    <w:p w14:paraId="66CA0136">
      <w:pPr>
        <w:keepNext w:val="0"/>
        <w:keepLines w:val="0"/>
        <w:widowControl/>
        <w:suppressLineNumbers w:val="0"/>
        <w:jc w:val="left"/>
        <w:rPr>
          <w:rFonts w:hint="default" w:ascii="仿宋" w:hAnsi="仿宋" w:eastAsia="仿宋" w:cs="仿宋"/>
          <w:color w:val="auto"/>
          <w:kern w:val="2"/>
          <w:sz w:val="32"/>
          <w:szCs w:val="32"/>
          <w:u w:val="none" w:color="auto"/>
          <w:lang w:val="en-US"/>
        </w:rPr>
      </w:pPr>
    </w:p>
    <w:p w14:paraId="296A8A63">
      <w:pPr>
        <w:keepNext w:val="0"/>
        <w:keepLines w:val="0"/>
        <w:widowControl/>
        <w:suppressLineNumbers w:val="0"/>
        <w:jc w:val="left"/>
        <w:rPr>
          <w:rFonts w:hint="default" w:ascii="仿宋" w:hAnsi="仿宋" w:eastAsia="仿宋" w:cs="仿宋"/>
          <w:color w:val="auto"/>
          <w:kern w:val="2"/>
          <w:sz w:val="32"/>
          <w:szCs w:val="32"/>
          <w:u w:val="none" w:color="auto"/>
          <w:lang w:val="en-US"/>
        </w:rPr>
      </w:pPr>
    </w:p>
    <w:p w14:paraId="2D35C012">
      <w:pPr>
        <w:keepNext w:val="0"/>
        <w:keepLines w:val="0"/>
        <w:widowControl/>
        <w:suppressLineNumbers w:val="0"/>
        <w:jc w:val="left"/>
        <w:rPr>
          <w:rFonts w:hint="default" w:ascii="仿宋" w:hAnsi="仿宋" w:eastAsia="仿宋" w:cs="仿宋"/>
          <w:color w:val="auto"/>
          <w:kern w:val="2"/>
          <w:sz w:val="32"/>
          <w:szCs w:val="32"/>
          <w:u w:val="none" w:color="auto"/>
          <w:lang w:val="en-US"/>
        </w:rPr>
      </w:pPr>
    </w:p>
    <w:p w14:paraId="7575D2D6">
      <w:pPr>
        <w:keepNext w:val="0"/>
        <w:keepLines w:val="0"/>
        <w:widowControl/>
        <w:suppressLineNumbers w:val="0"/>
        <w:jc w:val="left"/>
        <w:rPr>
          <w:rFonts w:hint="default" w:ascii="仿宋" w:hAnsi="仿宋" w:eastAsia="仿宋" w:cs="仿宋"/>
          <w:color w:val="auto"/>
          <w:kern w:val="2"/>
          <w:sz w:val="32"/>
          <w:szCs w:val="32"/>
          <w:u w:val="none" w:color="auto"/>
          <w:lang w:val="en-US"/>
        </w:rPr>
      </w:pPr>
    </w:p>
    <w:p w14:paraId="4393C412">
      <w:pPr>
        <w:keepNext w:val="0"/>
        <w:keepLines w:val="0"/>
        <w:widowControl/>
        <w:suppressLineNumbers w:val="0"/>
        <w:jc w:val="left"/>
        <w:rPr>
          <w:rFonts w:hint="default" w:ascii="仿宋" w:hAnsi="仿宋" w:eastAsia="仿宋" w:cs="仿宋"/>
          <w:color w:val="auto"/>
          <w:kern w:val="2"/>
          <w:sz w:val="32"/>
          <w:szCs w:val="32"/>
          <w:u w:val="none" w:color="auto"/>
          <w:lang w:val="en-US"/>
        </w:rPr>
      </w:pPr>
    </w:p>
    <w:p w14:paraId="02B11961">
      <w:pPr>
        <w:keepNext w:val="0"/>
        <w:keepLines w:val="0"/>
        <w:widowControl/>
        <w:suppressLineNumbers w:val="0"/>
        <w:jc w:val="left"/>
        <w:rPr>
          <w:rFonts w:hint="default" w:ascii="仿宋" w:hAnsi="仿宋" w:eastAsia="仿宋" w:cs="仿宋"/>
          <w:color w:val="auto"/>
          <w:kern w:val="2"/>
          <w:sz w:val="32"/>
          <w:szCs w:val="32"/>
          <w:u w:val="none" w:color="auto"/>
          <w:lang w:val="en-US"/>
        </w:rPr>
      </w:pPr>
    </w:p>
    <w:p w14:paraId="41D4F727">
      <w:pPr>
        <w:keepNext w:val="0"/>
        <w:keepLines w:val="0"/>
        <w:widowControl/>
        <w:suppressLineNumbers w:val="0"/>
        <w:jc w:val="left"/>
        <w:rPr>
          <w:rFonts w:hint="default" w:ascii="仿宋" w:hAnsi="仿宋" w:eastAsia="仿宋" w:cs="仿宋"/>
          <w:color w:val="auto"/>
          <w:kern w:val="2"/>
          <w:sz w:val="32"/>
          <w:szCs w:val="32"/>
          <w:u w:val="none" w:color="auto"/>
          <w:lang w:val="en-US"/>
        </w:rPr>
      </w:pPr>
    </w:p>
    <w:p w14:paraId="3A077DF4">
      <w:pPr>
        <w:keepNext w:val="0"/>
        <w:keepLines w:val="0"/>
        <w:widowControl/>
        <w:suppressLineNumbers w:val="0"/>
        <w:jc w:val="left"/>
        <w:rPr>
          <w:rFonts w:hint="default" w:ascii="仿宋" w:hAnsi="仿宋" w:eastAsia="仿宋" w:cs="仿宋"/>
          <w:color w:val="auto"/>
          <w:kern w:val="2"/>
          <w:sz w:val="32"/>
          <w:szCs w:val="32"/>
          <w:u w:val="none" w:color="auto"/>
          <w:lang w:val="en-US"/>
        </w:rPr>
      </w:pPr>
    </w:p>
    <w:p w14:paraId="6EA91BB0">
      <w:pPr>
        <w:keepNext w:val="0"/>
        <w:keepLines w:val="0"/>
        <w:widowControl/>
        <w:suppressLineNumbers w:val="0"/>
        <w:jc w:val="left"/>
        <w:rPr>
          <w:rFonts w:hint="default" w:ascii="仿宋" w:hAnsi="仿宋" w:eastAsia="仿宋" w:cs="仿宋"/>
          <w:color w:val="auto"/>
          <w:kern w:val="2"/>
          <w:sz w:val="32"/>
          <w:szCs w:val="32"/>
          <w:u w:val="none" w:color="auto"/>
          <w:lang w:val="en-US"/>
        </w:rPr>
      </w:pPr>
    </w:p>
    <w:tbl>
      <w:tblPr>
        <w:tblStyle w:val="19"/>
        <w:tblW w:w="10905" w:type="dxa"/>
        <w:tblInd w:w="-121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960"/>
        <w:gridCol w:w="1070"/>
        <w:gridCol w:w="695"/>
        <w:gridCol w:w="941"/>
        <w:gridCol w:w="469"/>
        <w:gridCol w:w="468"/>
        <w:gridCol w:w="692"/>
        <w:gridCol w:w="673"/>
        <w:gridCol w:w="632"/>
        <w:gridCol w:w="496"/>
        <w:gridCol w:w="711"/>
        <w:gridCol w:w="2098"/>
      </w:tblGrid>
      <w:tr w14:paraId="4EECA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0905"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453A6060">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color="auto"/>
              </w:rPr>
            </w:pPr>
            <w:r>
              <w:rPr>
                <w:rFonts w:hint="eastAsia" w:ascii="宋体" w:hAnsi="宋体" w:eastAsia="宋体" w:cs="宋体"/>
                <w:b/>
                <w:bCs/>
                <w:i w:val="0"/>
                <w:iCs w:val="0"/>
                <w:color w:val="000000"/>
                <w:kern w:val="0"/>
                <w:sz w:val="40"/>
                <w:szCs w:val="40"/>
                <w:u w:val="none" w:color="auto"/>
                <w:lang w:val="en-US" w:eastAsia="zh-CN" w:bidi="ar"/>
              </w:rPr>
              <w:t>项目支出绩效自评表</w:t>
            </w:r>
            <w:r>
              <w:rPr>
                <w:rFonts w:hint="eastAsia" w:ascii="宋体" w:hAnsi="宋体" w:eastAsia="宋体" w:cs="宋体"/>
                <w:b/>
                <w:bCs/>
                <w:i w:val="0"/>
                <w:iCs w:val="0"/>
                <w:color w:val="000000"/>
                <w:kern w:val="0"/>
                <w:sz w:val="40"/>
                <w:szCs w:val="40"/>
                <w:u w:val="none" w:color="auto"/>
                <w:lang w:val="en-US" w:eastAsia="zh-CN" w:bidi="ar"/>
              </w:rPr>
              <w:br w:type="textWrapping"/>
            </w:r>
            <w:r>
              <w:rPr>
                <w:rFonts w:hint="eastAsia" w:ascii="宋体" w:hAnsi="宋体" w:eastAsia="宋体" w:cs="宋体"/>
                <w:b/>
                <w:bCs/>
                <w:i w:val="0"/>
                <w:iCs w:val="0"/>
                <w:color w:val="000000"/>
                <w:kern w:val="0"/>
                <w:sz w:val="40"/>
                <w:szCs w:val="40"/>
                <w:u w:val="none" w:color="auto"/>
                <w:lang w:val="en-US" w:eastAsia="zh-CN" w:bidi="ar"/>
              </w:rPr>
              <w:t>(2025年度）</w:t>
            </w:r>
          </w:p>
        </w:tc>
      </w:tr>
      <w:tr w14:paraId="13235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8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765E5D">
            <w:pPr>
              <w:keepNext w:val="0"/>
              <w:keepLines w:val="0"/>
              <w:widowControl/>
              <w:suppressLineNumbers w:val="0"/>
              <w:jc w:val="righ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项目名称</w:t>
            </w:r>
          </w:p>
        </w:tc>
        <w:tc>
          <w:tcPr>
            <w:tcW w:w="801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14D5A97">
            <w:pPr>
              <w:keepNext w:val="0"/>
              <w:keepLines w:val="0"/>
              <w:widowControl/>
              <w:suppressLineNumbers w:val="0"/>
              <w:jc w:val="lef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信息系统建设维护</w:t>
            </w:r>
          </w:p>
        </w:tc>
      </w:tr>
      <w:tr w14:paraId="30B96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8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F6B425">
            <w:pPr>
              <w:keepNext w:val="0"/>
              <w:keepLines w:val="0"/>
              <w:widowControl/>
              <w:suppressLineNumbers w:val="0"/>
              <w:jc w:val="righ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主管部门</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CD0676">
            <w:pPr>
              <w:keepNext w:val="0"/>
              <w:keepLines w:val="0"/>
              <w:widowControl/>
              <w:suppressLineNumbers w:val="0"/>
              <w:jc w:val="lef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巴彦淖尔市卫生健康委员会（部门）</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89C658">
            <w:pPr>
              <w:keepNext w:val="0"/>
              <w:keepLines w:val="0"/>
              <w:widowControl/>
              <w:suppressLineNumbers w:val="0"/>
              <w:jc w:val="righ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实施单位</w:t>
            </w:r>
          </w:p>
        </w:tc>
        <w:tc>
          <w:tcPr>
            <w:tcW w:w="406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8C141B4">
            <w:pPr>
              <w:keepNext w:val="0"/>
              <w:keepLines w:val="0"/>
              <w:widowControl/>
              <w:suppressLineNumbers w:val="0"/>
              <w:jc w:val="lef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巴彦淖尔市卫生健康委员会</w:t>
            </w:r>
          </w:p>
        </w:tc>
      </w:tr>
      <w:tr w14:paraId="401CF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89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16DF9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项目资金</w:t>
            </w:r>
            <w:r>
              <w:rPr>
                <w:rFonts w:hint="eastAsia" w:ascii="宋体" w:hAnsi="宋体" w:eastAsia="宋体" w:cs="宋体"/>
                <w:i w:val="0"/>
                <w:iCs w:val="0"/>
                <w:color w:val="000000"/>
                <w:kern w:val="0"/>
                <w:sz w:val="18"/>
                <w:szCs w:val="18"/>
                <w:u w:val="none" w:color="auto"/>
                <w:lang w:val="en-US" w:eastAsia="zh-CN" w:bidi="ar"/>
              </w:rPr>
              <w:br w:type="textWrapping"/>
            </w:r>
            <w:r>
              <w:rPr>
                <w:rFonts w:hint="eastAsia" w:ascii="宋体" w:hAnsi="宋体" w:eastAsia="宋体" w:cs="宋体"/>
                <w:i w:val="0"/>
                <w:iCs w:val="0"/>
                <w:color w:val="000000"/>
                <w:kern w:val="0"/>
                <w:sz w:val="18"/>
                <w:szCs w:val="18"/>
                <w:u w:val="none" w:color="auto"/>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A7CEC1">
            <w:pPr>
              <w:rPr>
                <w:rFonts w:hint="eastAsia" w:ascii="宋体" w:hAnsi="宋体" w:eastAsia="宋体" w:cs="宋体"/>
                <w:i w:val="0"/>
                <w:iCs w:val="0"/>
                <w:color w:val="000000"/>
                <w:sz w:val="18"/>
                <w:szCs w:val="18"/>
                <w:u w:val="none" w:color="auto"/>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B665A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年初预算数</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8E4856">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全年预算数</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96069A">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全年执行数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10A786">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分值</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E484A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执行率（%）</w:t>
            </w:r>
          </w:p>
        </w:tc>
        <w:tc>
          <w:tcPr>
            <w:tcW w:w="2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3DA7A">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得分</w:t>
            </w:r>
          </w:p>
        </w:tc>
      </w:tr>
      <w:tr w14:paraId="4999B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89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2BF7B1">
            <w:pPr>
              <w:jc w:val="center"/>
              <w:rPr>
                <w:rFonts w:hint="eastAsia" w:ascii="宋体" w:hAnsi="宋体" w:eastAsia="宋体" w:cs="宋体"/>
                <w:i w:val="0"/>
                <w:iCs w:val="0"/>
                <w:color w:val="000000"/>
                <w:sz w:val="18"/>
                <w:szCs w:val="18"/>
                <w:u w:val="none" w:color="auto"/>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48C69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年度资金总额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D12DC4">
            <w:pPr>
              <w:keepNext w:val="0"/>
              <w:keepLines w:val="0"/>
              <w:widowControl/>
              <w:suppressLineNumbers w:val="0"/>
              <w:jc w:val="lef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76.9</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255F6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76.4</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F83AE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76.4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26ED8A">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60F8E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100</w:t>
            </w:r>
          </w:p>
        </w:tc>
        <w:tc>
          <w:tcPr>
            <w:tcW w:w="2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E6DE1">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w:t>
            </w:r>
          </w:p>
        </w:tc>
      </w:tr>
      <w:tr w14:paraId="178F6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89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147C32">
            <w:pPr>
              <w:jc w:val="center"/>
              <w:rPr>
                <w:rFonts w:hint="eastAsia" w:ascii="宋体" w:hAnsi="宋体" w:eastAsia="宋体" w:cs="宋体"/>
                <w:i w:val="0"/>
                <w:iCs w:val="0"/>
                <w:color w:val="000000"/>
                <w:sz w:val="18"/>
                <w:szCs w:val="18"/>
                <w:u w:val="none" w:color="auto"/>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D612B5">
            <w:pPr>
              <w:keepNext w:val="0"/>
              <w:keepLines w:val="0"/>
              <w:widowControl/>
              <w:suppressLineNumbers w:val="0"/>
              <w:jc w:val="lef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其中：财政拨款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029574">
            <w:pPr>
              <w:keepNext w:val="0"/>
              <w:keepLines w:val="0"/>
              <w:widowControl/>
              <w:suppressLineNumbers w:val="0"/>
              <w:jc w:val="lef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76.9</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3D9B1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76.4</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FD1F0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76.4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5F1F3">
            <w:pPr>
              <w:keepNext w:val="0"/>
              <w:keepLines w:val="0"/>
              <w:widowControl/>
              <w:suppressLineNumbers w:val="0"/>
              <w:jc w:val="center"/>
              <w:textAlignment w:val="center"/>
              <w:rPr>
                <w:rFonts w:ascii="Arial" w:hAnsi="Arial" w:eastAsia="宋体" w:cs="Arial"/>
                <w:i w:val="0"/>
                <w:iCs w:val="0"/>
                <w:color w:val="222222"/>
                <w:sz w:val="19"/>
                <w:szCs w:val="19"/>
                <w:u w:val="none" w:color="auto"/>
              </w:rPr>
            </w:pPr>
            <w:r>
              <w:rPr>
                <w:rFonts w:hint="default" w:ascii="Arial" w:hAnsi="Arial" w:eastAsia="宋体" w:cs="Arial"/>
                <w:i w:val="0"/>
                <w:iCs w:val="0"/>
                <w:color w:val="222222"/>
                <w:kern w:val="0"/>
                <w:sz w:val="19"/>
                <w:szCs w:val="19"/>
                <w:u w:val="none" w:color="auto"/>
                <w:lang w:val="en-US" w:eastAsia="zh-CN" w:bidi="ar"/>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C72311">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100</w:t>
            </w:r>
          </w:p>
        </w:tc>
        <w:tc>
          <w:tcPr>
            <w:tcW w:w="2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5C329">
            <w:pPr>
              <w:keepNext w:val="0"/>
              <w:keepLines w:val="0"/>
              <w:widowControl/>
              <w:suppressLineNumbers w:val="0"/>
              <w:jc w:val="center"/>
              <w:textAlignment w:val="center"/>
              <w:rPr>
                <w:rFonts w:hint="default" w:ascii="Arial" w:hAnsi="Arial" w:eastAsia="宋体" w:cs="Arial"/>
                <w:i w:val="0"/>
                <w:iCs w:val="0"/>
                <w:color w:val="222222"/>
                <w:sz w:val="19"/>
                <w:szCs w:val="19"/>
                <w:u w:val="none" w:color="auto"/>
              </w:rPr>
            </w:pPr>
            <w:r>
              <w:rPr>
                <w:rFonts w:hint="default" w:ascii="Arial" w:hAnsi="Arial" w:eastAsia="宋体" w:cs="Arial"/>
                <w:i w:val="0"/>
                <w:iCs w:val="0"/>
                <w:color w:val="222222"/>
                <w:kern w:val="0"/>
                <w:sz w:val="19"/>
                <w:szCs w:val="19"/>
                <w:u w:val="none" w:color="auto"/>
                <w:lang w:val="en-US" w:eastAsia="zh-CN" w:bidi="ar"/>
              </w:rPr>
              <w:t>——</w:t>
            </w:r>
          </w:p>
        </w:tc>
      </w:tr>
      <w:tr w14:paraId="031D8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89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DF0443">
            <w:pPr>
              <w:jc w:val="center"/>
              <w:rPr>
                <w:rFonts w:hint="eastAsia" w:ascii="宋体" w:hAnsi="宋体" w:eastAsia="宋体" w:cs="宋体"/>
                <w:i w:val="0"/>
                <w:iCs w:val="0"/>
                <w:color w:val="000000"/>
                <w:sz w:val="18"/>
                <w:szCs w:val="18"/>
                <w:u w:val="none" w:color="auto"/>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35A40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上年结转资金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47075F">
            <w:pPr>
              <w:rPr>
                <w:rFonts w:hint="eastAsia" w:ascii="宋体" w:hAnsi="宋体" w:eastAsia="宋体" w:cs="宋体"/>
                <w:i w:val="0"/>
                <w:iCs w:val="0"/>
                <w:color w:val="000000"/>
                <w:sz w:val="18"/>
                <w:szCs w:val="18"/>
                <w:u w:val="none" w:color="auto"/>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C0FAD6">
            <w:pPr>
              <w:jc w:val="center"/>
              <w:rPr>
                <w:rFonts w:hint="eastAsia" w:ascii="宋体" w:hAnsi="宋体" w:eastAsia="宋体" w:cs="宋体"/>
                <w:i w:val="0"/>
                <w:iCs w:val="0"/>
                <w:color w:val="000000"/>
                <w:sz w:val="18"/>
                <w:szCs w:val="18"/>
                <w:u w:val="none" w:color="auto"/>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F80228">
            <w:pPr>
              <w:jc w:val="center"/>
              <w:rPr>
                <w:rFonts w:hint="eastAsia" w:ascii="宋体" w:hAnsi="宋体" w:eastAsia="宋体" w:cs="宋体"/>
                <w:i w:val="0"/>
                <w:iCs w:val="0"/>
                <w:color w:val="000000"/>
                <w:sz w:val="18"/>
                <w:szCs w:val="18"/>
                <w:u w:val="none" w:color="auto"/>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7A742">
            <w:pPr>
              <w:keepNext w:val="0"/>
              <w:keepLines w:val="0"/>
              <w:widowControl/>
              <w:suppressLineNumbers w:val="0"/>
              <w:jc w:val="center"/>
              <w:textAlignment w:val="center"/>
              <w:rPr>
                <w:rFonts w:hint="default" w:ascii="Arial" w:hAnsi="Arial" w:eastAsia="宋体" w:cs="Arial"/>
                <w:i w:val="0"/>
                <w:iCs w:val="0"/>
                <w:color w:val="222222"/>
                <w:sz w:val="19"/>
                <w:szCs w:val="19"/>
                <w:u w:val="none" w:color="auto"/>
              </w:rPr>
            </w:pPr>
            <w:r>
              <w:rPr>
                <w:rFonts w:hint="default" w:ascii="Arial" w:hAnsi="Arial" w:eastAsia="宋体" w:cs="Arial"/>
                <w:i w:val="0"/>
                <w:iCs w:val="0"/>
                <w:color w:val="222222"/>
                <w:kern w:val="0"/>
                <w:sz w:val="19"/>
                <w:szCs w:val="19"/>
                <w:u w:val="none" w:color="auto"/>
                <w:lang w:val="en-US" w:eastAsia="zh-CN" w:bidi="ar"/>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07FE38">
            <w:pPr>
              <w:jc w:val="center"/>
              <w:rPr>
                <w:rFonts w:hint="eastAsia" w:ascii="宋体" w:hAnsi="宋体" w:eastAsia="宋体" w:cs="宋体"/>
                <w:i w:val="0"/>
                <w:iCs w:val="0"/>
                <w:color w:val="000000"/>
                <w:sz w:val="18"/>
                <w:szCs w:val="18"/>
                <w:u w:val="none" w:color="auto"/>
              </w:rPr>
            </w:pPr>
          </w:p>
        </w:tc>
        <w:tc>
          <w:tcPr>
            <w:tcW w:w="2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13007">
            <w:pPr>
              <w:keepNext w:val="0"/>
              <w:keepLines w:val="0"/>
              <w:widowControl/>
              <w:suppressLineNumbers w:val="0"/>
              <w:jc w:val="center"/>
              <w:textAlignment w:val="center"/>
              <w:rPr>
                <w:rFonts w:hint="default" w:ascii="Arial" w:hAnsi="Arial" w:eastAsia="宋体" w:cs="Arial"/>
                <w:i w:val="0"/>
                <w:iCs w:val="0"/>
                <w:color w:val="222222"/>
                <w:sz w:val="19"/>
                <w:szCs w:val="19"/>
                <w:u w:val="none" w:color="auto"/>
              </w:rPr>
            </w:pPr>
            <w:r>
              <w:rPr>
                <w:rFonts w:hint="default" w:ascii="Arial" w:hAnsi="Arial" w:eastAsia="宋体" w:cs="Arial"/>
                <w:i w:val="0"/>
                <w:iCs w:val="0"/>
                <w:color w:val="222222"/>
                <w:kern w:val="0"/>
                <w:sz w:val="19"/>
                <w:szCs w:val="19"/>
                <w:u w:val="none" w:color="auto"/>
                <w:lang w:val="en-US" w:eastAsia="zh-CN" w:bidi="ar"/>
              </w:rPr>
              <w:t>——</w:t>
            </w:r>
          </w:p>
        </w:tc>
      </w:tr>
      <w:tr w14:paraId="51523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89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66C21">
            <w:pPr>
              <w:jc w:val="center"/>
              <w:rPr>
                <w:rFonts w:hint="eastAsia" w:ascii="宋体" w:hAnsi="宋体" w:eastAsia="宋体" w:cs="宋体"/>
                <w:i w:val="0"/>
                <w:iCs w:val="0"/>
                <w:color w:val="000000"/>
                <w:sz w:val="18"/>
                <w:szCs w:val="18"/>
                <w:u w:val="none" w:color="auto"/>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75686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176505">
            <w:pPr>
              <w:keepNext w:val="0"/>
              <w:keepLines w:val="0"/>
              <w:widowControl/>
              <w:suppressLineNumbers w:val="0"/>
              <w:jc w:val="lef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BC8CE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A2F56A">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E4590">
            <w:pPr>
              <w:keepNext w:val="0"/>
              <w:keepLines w:val="0"/>
              <w:widowControl/>
              <w:suppressLineNumbers w:val="0"/>
              <w:jc w:val="center"/>
              <w:textAlignment w:val="center"/>
              <w:rPr>
                <w:rFonts w:hint="default" w:ascii="Arial" w:hAnsi="Arial" w:eastAsia="宋体" w:cs="Arial"/>
                <w:i w:val="0"/>
                <w:iCs w:val="0"/>
                <w:color w:val="222222"/>
                <w:sz w:val="19"/>
                <w:szCs w:val="19"/>
                <w:u w:val="none" w:color="auto"/>
              </w:rPr>
            </w:pPr>
            <w:r>
              <w:rPr>
                <w:rFonts w:hint="default" w:ascii="Arial" w:hAnsi="Arial" w:eastAsia="宋体" w:cs="Arial"/>
                <w:i w:val="0"/>
                <w:iCs w:val="0"/>
                <w:color w:val="222222"/>
                <w:kern w:val="0"/>
                <w:sz w:val="19"/>
                <w:szCs w:val="19"/>
                <w:u w:val="none" w:color="auto"/>
                <w:lang w:val="en-US" w:eastAsia="zh-CN" w:bidi="ar"/>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ED06E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0</w:t>
            </w:r>
          </w:p>
        </w:tc>
        <w:tc>
          <w:tcPr>
            <w:tcW w:w="2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69A23">
            <w:pPr>
              <w:keepNext w:val="0"/>
              <w:keepLines w:val="0"/>
              <w:widowControl/>
              <w:suppressLineNumbers w:val="0"/>
              <w:jc w:val="center"/>
              <w:textAlignment w:val="center"/>
              <w:rPr>
                <w:rFonts w:hint="default" w:ascii="Arial" w:hAnsi="Arial" w:eastAsia="宋体" w:cs="Arial"/>
                <w:i w:val="0"/>
                <w:iCs w:val="0"/>
                <w:color w:val="222222"/>
                <w:sz w:val="19"/>
                <w:szCs w:val="19"/>
                <w:u w:val="none" w:color="auto"/>
              </w:rPr>
            </w:pPr>
            <w:r>
              <w:rPr>
                <w:rFonts w:hint="default" w:ascii="Arial" w:hAnsi="Arial" w:eastAsia="宋体" w:cs="Arial"/>
                <w:i w:val="0"/>
                <w:iCs w:val="0"/>
                <w:color w:val="222222"/>
                <w:kern w:val="0"/>
                <w:sz w:val="19"/>
                <w:szCs w:val="19"/>
                <w:u w:val="none" w:color="auto"/>
                <w:lang w:val="en-US" w:eastAsia="zh-CN" w:bidi="ar"/>
              </w:rPr>
              <w:t>——</w:t>
            </w:r>
          </w:p>
        </w:tc>
      </w:tr>
      <w:tr w14:paraId="3ADFA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89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9B613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7DBF6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预期目标</w:t>
            </w:r>
          </w:p>
        </w:tc>
        <w:tc>
          <w:tcPr>
            <w:tcW w:w="481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59C20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实际完成情况</w:t>
            </w:r>
          </w:p>
        </w:tc>
      </w:tr>
      <w:tr w14:paraId="245D9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trPr>
        <w:tc>
          <w:tcPr>
            <w:tcW w:w="289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8912A">
            <w:pPr>
              <w:jc w:val="center"/>
              <w:rPr>
                <w:rFonts w:hint="eastAsia" w:ascii="宋体" w:hAnsi="宋体" w:eastAsia="宋体" w:cs="宋体"/>
                <w:i w:val="0"/>
                <w:iCs w:val="0"/>
                <w:color w:val="000000"/>
                <w:sz w:val="18"/>
                <w:szCs w:val="18"/>
                <w:u w:val="none" w:color="auto"/>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2AF0E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完成卫生健康信息化建设各类应用系统达到自治区及市下达的标准化建设目标任务；保障各类应用系统安全稳定运行。</w:t>
            </w:r>
          </w:p>
        </w:tc>
        <w:tc>
          <w:tcPr>
            <w:tcW w:w="481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EA74F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 xml:space="preserve"> 完成卫生健康信息化建设各类应用系统达到自治区及市下达的标准化建设目标任务；保障各类应用系统安全稳定运行。</w:t>
            </w:r>
          </w:p>
        </w:tc>
      </w:tr>
      <w:tr w14:paraId="11EDE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E402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绩效指标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77A8C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759D8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8B4ECA">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ADE86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E1422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指标方向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46C65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年度指标值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DD6AB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实际完成值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A66C3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计量单位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EEC2A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分值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0B976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得分</w:t>
            </w:r>
          </w:p>
        </w:tc>
        <w:tc>
          <w:tcPr>
            <w:tcW w:w="2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61ED2">
            <w:pPr>
              <w:keepNext w:val="0"/>
              <w:keepLines w:val="0"/>
              <w:widowControl/>
              <w:suppressLineNumbers w:val="0"/>
              <w:jc w:val="lef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偏差原因分析及改进措施</w:t>
            </w:r>
          </w:p>
        </w:tc>
      </w:tr>
      <w:tr w14:paraId="25F8F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38" w:type="dxa"/>
            <w:vMerge w:val="restart"/>
            <w:tcBorders>
              <w:top w:val="single" w:color="000000" w:sz="4" w:space="0"/>
              <w:left w:val="single" w:color="000000" w:sz="4" w:space="0"/>
              <w:bottom w:val="nil"/>
              <w:right w:val="single" w:color="000000" w:sz="4" w:space="0"/>
            </w:tcBorders>
            <w:shd w:val="clear" w:color="auto" w:fill="auto"/>
            <w:vAlign w:val="center"/>
          </w:tcPr>
          <w:p w14:paraId="00FF596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绩效指标</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7B2B9CC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产出指标</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5A3A9B9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数量指标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C497FF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全民健康信息平台各类型应用系统数量</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6B0859A">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D426BA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4BB536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21</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47859D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21</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E94EFE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个</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0B5606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7</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892A9A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7</w:t>
            </w:r>
          </w:p>
        </w:tc>
        <w:tc>
          <w:tcPr>
            <w:tcW w:w="2074" w:type="dxa"/>
            <w:tcBorders>
              <w:top w:val="single" w:color="000000" w:sz="4" w:space="0"/>
              <w:left w:val="single" w:color="000000" w:sz="4" w:space="0"/>
              <w:bottom w:val="nil"/>
              <w:right w:val="single" w:color="000000" w:sz="4" w:space="0"/>
            </w:tcBorders>
            <w:shd w:val="clear" w:color="auto" w:fill="auto"/>
            <w:vAlign w:val="center"/>
          </w:tcPr>
          <w:p w14:paraId="25ABE408">
            <w:pPr>
              <w:jc w:val="center"/>
              <w:rPr>
                <w:rFonts w:hint="eastAsia" w:ascii="宋体" w:hAnsi="宋体" w:eastAsia="宋体" w:cs="宋体"/>
                <w:i w:val="0"/>
                <w:iCs w:val="0"/>
                <w:color w:val="000000"/>
                <w:sz w:val="18"/>
                <w:szCs w:val="18"/>
                <w:u w:val="none" w:color="auto"/>
              </w:rPr>
            </w:pPr>
          </w:p>
        </w:tc>
      </w:tr>
      <w:tr w14:paraId="2A979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38" w:type="dxa"/>
            <w:vMerge w:val="continue"/>
            <w:tcBorders>
              <w:top w:val="single" w:color="000000" w:sz="4" w:space="0"/>
              <w:left w:val="single" w:color="000000" w:sz="4" w:space="0"/>
              <w:bottom w:val="nil"/>
              <w:right w:val="single" w:color="000000" w:sz="4" w:space="0"/>
            </w:tcBorders>
            <w:shd w:val="clear" w:color="auto" w:fill="auto"/>
            <w:vAlign w:val="center"/>
          </w:tcPr>
          <w:p w14:paraId="01FE7626">
            <w:pPr>
              <w:jc w:val="center"/>
              <w:rPr>
                <w:rFonts w:hint="eastAsia" w:ascii="宋体" w:hAnsi="宋体" w:eastAsia="宋体" w:cs="宋体"/>
                <w:i w:val="0"/>
                <w:iCs w:val="0"/>
                <w:color w:val="000000"/>
                <w:sz w:val="18"/>
                <w:szCs w:val="18"/>
                <w:u w:val="none" w:color="auto"/>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F28D8AA">
            <w:pPr>
              <w:jc w:val="center"/>
              <w:rPr>
                <w:rFonts w:hint="eastAsia" w:ascii="宋体" w:hAnsi="宋体" w:eastAsia="宋体" w:cs="宋体"/>
                <w:i w:val="0"/>
                <w:iCs w:val="0"/>
                <w:color w:val="000000"/>
                <w:sz w:val="18"/>
                <w:szCs w:val="18"/>
                <w:u w:val="none" w:color="auto"/>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6CBDE35">
            <w:pPr>
              <w:jc w:val="center"/>
              <w:rPr>
                <w:rFonts w:hint="eastAsia" w:ascii="宋体" w:hAnsi="宋体" w:eastAsia="宋体" w:cs="宋体"/>
                <w:i w:val="0"/>
                <w:iCs w:val="0"/>
                <w:color w:val="000000"/>
                <w:sz w:val="18"/>
                <w:szCs w:val="18"/>
                <w:u w:val="none" w:color="auto"/>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4E05E1A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平台覆盖旗县数量</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37A5B3A">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899D5B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F5AFF9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7</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EAE2C7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7</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73B517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个</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D012FE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8</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D4BC92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8</w:t>
            </w:r>
          </w:p>
        </w:tc>
        <w:tc>
          <w:tcPr>
            <w:tcW w:w="2074" w:type="dxa"/>
            <w:tcBorders>
              <w:top w:val="single" w:color="000000" w:sz="4" w:space="0"/>
              <w:left w:val="single" w:color="000000" w:sz="4" w:space="0"/>
              <w:bottom w:val="nil"/>
              <w:right w:val="single" w:color="000000" w:sz="4" w:space="0"/>
            </w:tcBorders>
            <w:shd w:val="clear" w:color="auto" w:fill="auto"/>
            <w:vAlign w:val="center"/>
          </w:tcPr>
          <w:p w14:paraId="70E60325">
            <w:pPr>
              <w:jc w:val="center"/>
              <w:rPr>
                <w:rFonts w:hint="eastAsia" w:ascii="宋体" w:hAnsi="宋体" w:eastAsia="宋体" w:cs="宋体"/>
                <w:i w:val="0"/>
                <w:iCs w:val="0"/>
                <w:color w:val="000000"/>
                <w:sz w:val="18"/>
                <w:szCs w:val="18"/>
                <w:u w:val="none" w:color="auto"/>
              </w:rPr>
            </w:pPr>
          </w:p>
        </w:tc>
      </w:tr>
      <w:tr w14:paraId="2E2EA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38" w:type="dxa"/>
            <w:vMerge w:val="continue"/>
            <w:tcBorders>
              <w:top w:val="single" w:color="000000" w:sz="4" w:space="0"/>
              <w:left w:val="single" w:color="000000" w:sz="4" w:space="0"/>
              <w:bottom w:val="nil"/>
              <w:right w:val="single" w:color="000000" w:sz="4" w:space="0"/>
            </w:tcBorders>
            <w:shd w:val="clear" w:color="auto" w:fill="auto"/>
            <w:vAlign w:val="center"/>
          </w:tcPr>
          <w:p w14:paraId="447EBD95">
            <w:pPr>
              <w:jc w:val="center"/>
              <w:rPr>
                <w:rFonts w:hint="eastAsia" w:ascii="宋体" w:hAnsi="宋体" w:eastAsia="宋体" w:cs="宋体"/>
                <w:i w:val="0"/>
                <w:iCs w:val="0"/>
                <w:color w:val="000000"/>
                <w:sz w:val="18"/>
                <w:szCs w:val="18"/>
                <w:u w:val="none" w:color="auto"/>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3926992">
            <w:pPr>
              <w:jc w:val="center"/>
              <w:rPr>
                <w:rFonts w:hint="eastAsia" w:ascii="宋体" w:hAnsi="宋体" w:eastAsia="宋体" w:cs="宋体"/>
                <w:i w:val="0"/>
                <w:iCs w:val="0"/>
                <w:color w:val="000000"/>
                <w:sz w:val="18"/>
                <w:szCs w:val="18"/>
                <w:u w:val="none" w:color="auto"/>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5053921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质量指标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B540B3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运行畅通率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8BD855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186B3F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4655A06">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90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5E8456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90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DBA48C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9BF28C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7</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AD8620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7</w:t>
            </w:r>
          </w:p>
        </w:tc>
        <w:tc>
          <w:tcPr>
            <w:tcW w:w="2074" w:type="dxa"/>
            <w:tcBorders>
              <w:top w:val="single" w:color="000000" w:sz="4" w:space="0"/>
              <w:left w:val="single" w:color="000000" w:sz="4" w:space="0"/>
              <w:bottom w:val="nil"/>
              <w:right w:val="single" w:color="000000" w:sz="4" w:space="0"/>
            </w:tcBorders>
            <w:shd w:val="clear" w:color="auto" w:fill="auto"/>
            <w:vAlign w:val="center"/>
          </w:tcPr>
          <w:p w14:paraId="51FCD8E0">
            <w:pPr>
              <w:jc w:val="center"/>
              <w:rPr>
                <w:rFonts w:hint="eastAsia" w:ascii="宋体" w:hAnsi="宋体" w:eastAsia="宋体" w:cs="宋体"/>
                <w:i w:val="0"/>
                <w:iCs w:val="0"/>
                <w:color w:val="000000"/>
                <w:sz w:val="18"/>
                <w:szCs w:val="18"/>
                <w:u w:val="none" w:color="auto"/>
              </w:rPr>
            </w:pPr>
          </w:p>
        </w:tc>
      </w:tr>
      <w:tr w14:paraId="613F2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38" w:type="dxa"/>
            <w:vMerge w:val="continue"/>
            <w:tcBorders>
              <w:top w:val="single" w:color="000000" w:sz="4" w:space="0"/>
              <w:left w:val="single" w:color="000000" w:sz="4" w:space="0"/>
              <w:bottom w:val="nil"/>
              <w:right w:val="single" w:color="000000" w:sz="4" w:space="0"/>
            </w:tcBorders>
            <w:shd w:val="clear" w:color="auto" w:fill="auto"/>
            <w:vAlign w:val="center"/>
          </w:tcPr>
          <w:p w14:paraId="0ABFE540">
            <w:pPr>
              <w:jc w:val="center"/>
              <w:rPr>
                <w:rFonts w:hint="eastAsia" w:ascii="宋体" w:hAnsi="宋体" w:eastAsia="宋体" w:cs="宋体"/>
                <w:i w:val="0"/>
                <w:iCs w:val="0"/>
                <w:color w:val="000000"/>
                <w:sz w:val="18"/>
                <w:szCs w:val="18"/>
                <w:u w:val="none" w:color="auto"/>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8D1CF3E">
            <w:pPr>
              <w:jc w:val="center"/>
              <w:rPr>
                <w:rFonts w:hint="eastAsia" w:ascii="宋体" w:hAnsi="宋体" w:eastAsia="宋体" w:cs="宋体"/>
                <w:i w:val="0"/>
                <w:iCs w:val="0"/>
                <w:color w:val="000000"/>
                <w:sz w:val="18"/>
                <w:szCs w:val="18"/>
                <w:u w:val="none" w:color="auto"/>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929FA49">
            <w:pPr>
              <w:jc w:val="center"/>
              <w:rPr>
                <w:rFonts w:hint="eastAsia" w:ascii="宋体" w:hAnsi="宋体" w:eastAsia="宋体" w:cs="宋体"/>
                <w:i w:val="0"/>
                <w:iCs w:val="0"/>
                <w:color w:val="000000"/>
                <w:sz w:val="18"/>
                <w:szCs w:val="18"/>
                <w:u w:val="none" w:color="auto"/>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13DD4C4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功能达标率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8D8493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FA90C0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8CEA4E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90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E40223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90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74242E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6D8F04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8</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AA743F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8</w:t>
            </w:r>
          </w:p>
        </w:tc>
        <w:tc>
          <w:tcPr>
            <w:tcW w:w="2074" w:type="dxa"/>
            <w:tcBorders>
              <w:top w:val="single" w:color="000000" w:sz="4" w:space="0"/>
              <w:left w:val="single" w:color="000000" w:sz="4" w:space="0"/>
              <w:bottom w:val="nil"/>
              <w:right w:val="single" w:color="000000" w:sz="4" w:space="0"/>
            </w:tcBorders>
            <w:shd w:val="clear" w:color="auto" w:fill="auto"/>
            <w:vAlign w:val="center"/>
          </w:tcPr>
          <w:p w14:paraId="19A08FAF">
            <w:pPr>
              <w:jc w:val="center"/>
              <w:rPr>
                <w:rFonts w:hint="eastAsia" w:ascii="宋体" w:hAnsi="宋体" w:eastAsia="宋体" w:cs="宋体"/>
                <w:i w:val="0"/>
                <w:iCs w:val="0"/>
                <w:color w:val="000000"/>
                <w:sz w:val="18"/>
                <w:szCs w:val="18"/>
                <w:u w:val="none" w:color="auto"/>
              </w:rPr>
            </w:pPr>
          </w:p>
        </w:tc>
      </w:tr>
      <w:tr w14:paraId="373CD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38" w:type="dxa"/>
            <w:vMerge w:val="continue"/>
            <w:tcBorders>
              <w:top w:val="single" w:color="000000" w:sz="4" w:space="0"/>
              <w:left w:val="single" w:color="000000" w:sz="4" w:space="0"/>
              <w:bottom w:val="nil"/>
              <w:right w:val="single" w:color="000000" w:sz="4" w:space="0"/>
            </w:tcBorders>
            <w:shd w:val="clear" w:color="auto" w:fill="auto"/>
            <w:vAlign w:val="center"/>
          </w:tcPr>
          <w:p w14:paraId="4B95FFDF">
            <w:pPr>
              <w:jc w:val="center"/>
              <w:rPr>
                <w:rFonts w:hint="eastAsia" w:ascii="宋体" w:hAnsi="宋体" w:eastAsia="宋体" w:cs="宋体"/>
                <w:i w:val="0"/>
                <w:iCs w:val="0"/>
                <w:color w:val="000000"/>
                <w:sz w:val="18"/>
                <w:szCs w:val="18"/>
                <w:u w:val="none" w:color="auto"/>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B782C64">
            <w:pPr>
              <w:jc w:val="center"/>
              <w:rPr>
                <w:rFonts w:hint="eastAsia" w:ascii="宋体" w:hAnsi="宋体" w:eastAsia="宋体" w:cs="宋体"/>
                <w:i w:val="0"/>
                <w:iCs w:val="0"/>
                <w:color w:val="000000"/>
                <w:sz w:val="18"/>
                <w:szCs w:val="18"/>
                <w:u w:val="none" w:color="auto"/>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740B7AD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时效指标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34F422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全民健康信息平台各类型应用系统验收及时率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3B3125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FF656D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662883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90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F114531">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90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1DA214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703B13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676F0E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2074" w:type="dxa"/>
            <w:tcBorders>
              <w:top w:val="single" w:color="000000" w:sz="4" w:space="0"/>
              <w:left w:val="single" w:color="000000" w:sz="4" w:space="0"/>
              <w:bottom w:val="nil"/>
              <w:right w:val="single" w:color="000000" w:sz="4" w:space="0"/>
            </w:tcBorders>
            <w:shd w:val="clear" w:color="auto" w:fill="auto"/>
            <w:vAlign w:val="center"/>
          </w:tcPr>
          <w:p w14:paraId="4A3D33DE">
            <w:pPr>
              <w:jc w:val="center"/>
              <w:rPr>
                <w:rFonts w:hint="eastAsia" w:ascii="宋体" w:hAnsi="宋体" w:eastAsia="宋体" w:cs="宋体"/>
                <w:i w:val="0"/>
                <w:iCs w:val="0"/>
                <w:color w:val="000000"/>
                <w:sz w:val="18"/>
                <w:szCs w:val="18"/>
                <w:u w:val="none" w:color="auto"/>
              </w:rPr>
            </w:pPr>
          </w:p>
        </w:tc>
      </w:tr>
      <w:tr w14:paraId="40C12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38" w:type="dxa"/>
            <w:vMerge w:val="continue"/>
            <w:tcBorders>
              <w:top w:val="single" w:color="000000" w:sz="4" w:space="0"/>
              <w:left w:val="single" w:color="000000" w:sz="4" w:space="0"/>
              <w:bottom w:val="nil"/>
              <w:right w:val="single" w:color="000000" w:sz="4" w:space="0"/>
            </w:tcBorders>
            <w:shd w:val="clear" w:color="auto" w:fill="auto"/>
            <w:vAlign w:val="center"/>
          </w:tcPr>
          <w:p w14:paraId="0B1F8D0B">
            <w:pPr>
              <w:jc w:val="center"/>
              <w:rPr>
                <w:rFonts w:hint="eastAsia" w:ascii="宋体" w:hAnsi="宋体" w:eastAsia="宋体" w:cs="宋体"/>
                <w:i w:val="0"/>
                <w:iCs w:val="0"/>
                <w:color w:val="000000"/>
                <w:sz w:val="18"/>
                <w:szCs w:val="18"/>
                <w:u w:val="none" w:color="auto"/>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6CEBA3B">
            <w:pPr>
              <w:jc w:val="center"/>
              <w:rPr>
                <w:rFonts w:hint="eastAsia" w:ascii="宋体" w:hAnsi="宋体" w:eastAsia="宋体" w:cs="宋体"/>
                <w:i w:val="0"/>
                <w:iCs w:val="0"/>
                <w:color w:val="000000"/>
                <w:sz w:val="18"/>
                <w:szCs w:val="18"/>
                <w:u w:val="none" w:color="auto"/>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3FAB235">
            <w:pPr>
              <w:jc w:val="center"/>
              <w:rPr>
                <w:rFonts w:hint="eastAsia" w:ascii="宋体" w:hAnsi="宋体" w:eastAsia="宋体" w:cs="宋体"/>
                <w:i w:val="0"/>
                <w:iCs w:val="0"/>
                <w:color w:val="000000"/>
                <w:sz w:val="18"/>
                <w:szCs w:val="18"/>
                <w:u w:val="none" w:color="auto"/>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234A5F9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软件系统信息安全等级保护测评验收及时率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5AF9E8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266733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696F75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90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D04434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90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336F336">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7D49FD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887019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2074" w:type="dxa"/>
            <w:tcBorders>
              <w:top w:val="single" w:color="000000" w:sz="4" w:space="0"/>
              <w:left w:val="single" w:color="000000" w:sz="4" w:space="0"/>
              <w:bottom w:val="nil"/>
              <w:right w:val="single" w:color="000000" w:sz="4" w:space="0"/>
            </w:tcBorders>
            <w:shd w:val="clear" w:color="auto" w:fill="auto"/>
            <w:vAlign w:val="center"/>
          </w:tcPr>
          <w:p w14:paraId="51F7345C">
            <w:pPr>
              <w:jc w:val="center"/>
              <w:rPr>
                <w:rFonts w:hint="eastAsia" w:ascii="宋体" w:hAnsi="宋体" w:eastAsia="宋体" w:cs="宋体"/>
                <w:i w:val="0"/>
                <w:iCs w:val="0"/>
                <w:color w:val="000000"/>
                <w:sz w:val="18"/>
                <w:szCs w:val="18"/>
                <w:u w:val="none" w:color="auto"/>
              </w:rPr>
            </w:pPr>
          </w:p>
        </w:tc>
      </w:tr>
      <w:tr w14:paraId="09644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38" w:type="dxa"/>
            <w:vMerge w:val="continue"/>
            <w:tcBorders>
              <w:top w:val="single" w:color="000000" w:sz="4" w:space="0"/>
              <w:left w:val="single" w:color="000000" w:sz="4" w:space="0"/>
              <w:bottom w:val="nil"/>
              <w:right w:val="single" w:color="000000" w:sz="4" w:space="0"/>
            </w:tcBorders>
            <w:shd w:val="clear" w:color="auto" w:fill="auto"/>
            <w:vAlign w:val="center"/>
          </w:tcPr>
          <w:p w14:paraId="37DEE927">
            <w:pPr>
              <w:jc w:val="center"/>
              <w:rPr>
                <w:rFonts w:hint="eastAsia" w:ascii="宋体" w:hAnsi="宋体" w:eastAsia="宋体" w:cs="宋体"/>
                <w:i w:val="0"/>
                <w:iCs w:val="0"/>
                <w:color w:val="000000"/>
                <w:sz w:val="18"/>
                <w:szCs w:val="18"/>
                <w:u w:val="none" w:color="auto"/>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DAA64FF">
            <w:pPr>
              <w:jc w:val="center"/>
              <w:rPr>
                <w:rFonts w:hint="eastAsia" w:ascii="宋体" w:hAnsi="宋体" w:eastAsia="宋体" w:cs="宋体"/>
                <w:i w:val="0"/>
                <w:iCs w:val="0"/>
                <w:color w:val="000000"/>
                <w:sz w:val="18"/>
                <w:szCs w:val="18"/>
                <w:u w:val="none" w:color="auto"/>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666B909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成本指标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757CA1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本地化的运维服务费用</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336669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反向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967FE9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小于等于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AE2EE0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73.90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45FD091">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73.4</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BCD284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万元</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6623FA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2801A8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2074" w:type="dxa"/>
            <w:tcBorders>
              <w:top w:val="single" w:color="000000" w:sz="4" w:space="0"/>
              <w:left w:val="single" w:color="000000" w:sz="4" w:space="0"/>
              <w:bottom w:val="nil"/>
              <w:right w:val="single" w:color="000000" w:sz="4" w:space="0"/>
            </w:tcBorders>
            <w:shd w:val="clear" w:color="auto" w:fill="auto"/>
            <w:vAlign w:val="center"/>
          </w:tcPr>
          <w:p w14:paraId="65F22D34">
            <w:pPr>
              <w:jc w:val="center"/>
              <w:rPr>
                <w:rFonts w:hint="eastAsia" w:ascii="宋体" w:hAnsi="宋体" w:eastAsia="宋体" w:cs="宋体"/>
                <w:i w:val="0"/>
                <w:iCs w:val="0"/>
                <w:color w:val="000000"/>
                <w:sz w:val="18"/>
                <w:szCs w:val="18"/>
                <w:u w:val="none" w:color="auto"/>
              </w:rPr>
            </w:pPr>
          </w:p>
        </w:tc>
      </w:tr>
      <w:tr w14:paraId="0FC61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38" w:type="dxa"/>
            <w:vMerge w:val="continue"/>
            <w:tcBorders>
              <w:top w:val="single" w:color="000000" w:sz="4" w:space="0"/>
              <w:left w:val="single" w:color="000000" w:sz="4" w:space="0"/>
              <w:bottom w:val="nil"/>
              <w:right w:val="single" w:color="000000" w:sz="4" w:space="0"/>
            </w:tcBorders>
            <w:shd w:val="clear" w:color="auto" w:fill="auto"/>
            <w:vAlign w:val="center"/>
          </w:tcPr>
          <w:p w14:paraId="55668349">
            <w:pPr>
              <w:jc w:val="center"/>
              <w:rPr>
                <w:rFonts w:hint="eastAsia" w:ascii="宋体" w:hAnsi="宋体" w:eastAsia="宋体" w:cs="宋体"/>
                <w:i w:val="0"/>
                <w:iCs w:val="0"/>
                <w:color w:val="000000"/>
                <w:sz w:val="18"/>
                <w:szCs w:val="18"/>
                <w:u w:val="none" w:color="auto"/>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7701451">
            <w:pPr>
              <w:jc w:val="center"/>
              <w:rPr>
                <w:rFonts w:hint="eastAsia" w:ascii="宋体" w:hAnsi="宋体" w:eastAsia="宋体" w:cs="宋体"/>
                <w:i w:val="0"/>
                <w:iCs w:val="0"/>
                <w:color w:val="000000"/>
                <w:sz w:val="18"/>
                <w:szCs w:val="18"/>
                <w:u w:val="none" w:color="auto"/>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76E8B08">
            <w:pPr>
              <w:jc w:val="center"/>
              <w:rPr>
                <w:rFonts w:hint="eastAsia" w:ascii="宋体" w:hAnsi="宋体" w:eastAsia="宋体" w:cs="宋体"/>
                <w:i w:val="0"/>
                <w:iCs w:val="0"/>
                <w:color w:val="000000"/>
                <w:sz w:val="18"/>
                <w:szCs w:val="18"/>
                <w:u w:val="none" w:color="auto"/>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33F9682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全民健康信息平台运维服务</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BA7E7D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反向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6BC085A">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小于等于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03E065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34</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29B753A">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33.55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4DD3F9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万元</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1D6BE6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E3CDC7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2074" w:type="dxa"/>
            <w:tcBorders>
              <w:top w:val="single" w:color="000000" w:sz="4" w:space="0"/>
              <w:left w:val="single" w:color="000000" w:sz="4" w:space="0"/>
              <w:bottom w:val="nil"/>
              <w:right w:val="single" w:color="000000" w:sz="4" w:space="0"/>
            </w:tcBorders>
            <w:shd w:val="clear" w:color="auto" w:fill="auto"/>
            <w:vAlign w:val="center"/>
          </w:tcPr>
          <w:p w14:paraId="702E269F">
            <w:pPr>
              <w:jc w:val="center"/>
              <w:rPr>
                <w:rFonts w:hint="eastAsia" w:ascii="宋体" w:hAnsi="宋体" w:eastAsia="宋体" w:cs="宋体"/>
                <w:i w:val="0"/>
                <w:iCs w:val="0"/>
                <w:color w:val="000000"/>
                <w:sz w:val="18"/>
                <w:szCs w:val="18"/>
                <w:u w:val="none" w:color="auto"/>
              </w:rPr>
            </w:pPr>
          </w:p>
        </w:tc>
      </w:tr>
      <w:tr w14:paraId="31A6A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38" w:type="dxa"/>
            <w:vMerge w:val="continue"/>
            <w:tcBorders>
              <w:top w:val="single" w:color="000000" w:sz="4" w:space="0"/>
              <w:left w:val="single" w:color="000000" w:sz="4" w:space="0"/>
              <w:bottom w:val="nil"/>
              <w:right w:val="single" w:color="000000" w:sz="4" w:space="0"/>
            </w:tcBorders>
            <w:shd w:val="clear" w:color="auto" w:fill="auto"/>
            <w:vAlign w:val="center"/>
          </w:tcPr>
          <w:p w14:paraId="54CDB0D8">
            <w:pPr>
              <w:jc w:val="center"/>
              <w:rPr>
                <w:rFonts w:hint="eastAsia" w:ascii="宋体" w:hAnsi="宋体" w:eastAsia="宋体" w:cs="宋体"/>
                <w:i w:val="0"/>
                <w:iCs w:val="0"/>
                <w:color w:val="000000"/>
                <w:sz w:val="18"/>
                <w:szCs w:val="18"/>
                <w:u w:val="none" w:color="auto"/>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5899981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效益指标</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4D1B7A0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社会效益</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5E2519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促进卫生健康各项改革政策执行</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CF5285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定性</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C3FFD04">
            <w:pPr>
              <w:jc w:val="center"/>
              <w:rPr>
                <w:rFonts w:hint="eastAsia" w:ascii="宋体" w:hAnsi="宋体" w:eastAsia="宋体" w:cs="宋体"/>
                <w:i w:val="0"/>
                <w:iCs w:val="0"/>
                <w:color w:val="000000"/>
                <w:sz w:val="18"/>
                <w:szCs w:val="18"/>
                <w:u w:val="none" w:color="auto"/>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132F3FC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有效执行</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4FA650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有效执行</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9CFDA0B">
            <w:pPr>
              <w:jc w:val="center"/>
              <w:rPr>
                <w:rFonts w:hint="eastAsia" w:ascii="宋体" w:hAnsi="宋体" w:eastAsia="宋体" w:cs="宋体"/>
                <w:i w:val="0"/>
                <w:iCs w:val="0"/>
                <w:color w:val="000000"/>
                <w:sz w:val="18"/>
                <w:szCs w:val="18"/>
                <w:u w:val="none" w:color="auto"/>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014D936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432C7E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w:t>
            </w:r>
          </w:p>
        </w:tc>
        <w:tc>
          <w:tcPr>
            <w:tcW w:w="2074" w:type="dxa"/>
            <w:tcBorders>
              <w:top w:val="single" w:color="000000" w:sz="4" w:space="0"/>
              <w:left w:val="single" w:color="000000" w:sz="4" w:space="0"/>
              <w:bottom w:val="nil"/>
              <w:right w:val="single" w:color="000000" w:sz="4" w:space="0"/>
            </w:tcBorders>
            <w:shd w:val="clear" w:color="auto" w:fill="auto"/>
            <w:vAlign w:val="center"/>
          </w:tcPr>
          <w:p w14:paraId="3FEC6456">
            <w:pPr>
              <w:jc w:val="center"/>
              <w:rPr>
                <w:rFonts w:hint="eastAsia" w:ascii="宋体" w:hAnsi="宋体" w:eastAsia="宋体" w:cs="宋体"/>
                <w:i w:val="0"/>
                <w:iCs w:val="0"/>
                <w:color w:val="000000"/>
                <w:sz w:val="18"/>
                <w:szCs w:val="18"/>
                <w:u w:val="none" w:color="auto"/>
              </w:rPr>
            </w:pPr>
          </w:p>
        </w:tc>
      </w:tr>
      <w:tr w14:paraId="5B8D5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38" w:type="dxa"/>
            <w:vMerge w:val="continue"/>
            <w:tcBorders>
              <w:top w:val="single" w:color="000000" w:sz="4" w:space="0"/>
              <w:left w:val="single" w:color="000000" w:sz="4" w:space="0"/>
              <w:bottom w:val="nil"/>
              <w:right w:val="single" w:color="000000" w:sz="4" w:space="0"/>
            </w:tcBorders>
            <w:shd w:val="clear" w:color="auto" w:fill="auto"/>
            <w:vAlign w:val="center"/>
          </w:tcPr>
          <w:p w14:paraId="0BCA83BB">
            <w:pPr>
              <w:jc w:val="center"/>
              <w:rPr>
                <w:rFonts w:hint="eastAsia" w:ascii="宋体" w:hAnsi="宋体" w:eastAsia="宋体" w:cs="宋体"/>
                <w:i w:val="0"/>
                <w:iCs w:val="0"/>
                <w:color w:val="000000"/>
                <w:sz w:val="18"/>
                <w:szCs w:val="18"/>
                <w:u w:val="none" w:color="auto"/>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D199263">
            <w:pPr>
              <w:jc w:val="center"/>
              <w:rPr>
                <w:rFonts w:hint="eastAsia" w:ascii="宋体" w:hAnsi="宋体" w:eastAsia="宋体" w:cs="宋体"/>
                <w:i w:val="0"/>
                <w:iCs w:val="0"/>
                <w:color w:val="000000"/>
                <w:sz w:val="18"/>
                <w:szCs w:val="18"/>
                <w:u w:val="none" w:color="auto"/>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2301561">
            <w:pPr>
              <w:jc w:val="center"/>
              <w:rPr>
                <w:rFonts w:hint="eastAsia" w:ascii="宋体" w:hAnsi="宋体" w:eastAsia="宋体" w:cs="宋体"/>
                <w:i w:val="0"/>
                <w:iCs w:val="0"/>
                <w:color w:val="000000"/>
                <w:sz w:val="18"/>
                <w:szCs w:val="18"/>
                <w:u w:val="none" w:color="auto"/>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2161AA9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提供居民便捷高效低价卫生健康服务</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36B41E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定性</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9B48B41">
            <w:pPr>
              <w:jc w:val="center"/>
              <w:rPr>
                <w:rFonts w:hint="eastAsia" w:ascii="宋体" w:hAnsi="宋体" w:eastAsia="宋体" w:cs="宋体"/>
                <w:i w:val="0"/>
                <w:iCs w:val="0"/>
                <w:color w:val="000000"/>
                <w:sz w:val="18"/>
                <w:szCs w:val="18"/>
                <w:u w:val="none" w:color="auto"/>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2F150C9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效果显著</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BBF26A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效果显著</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694AC68">
            <w:pPr>
              <w:jc w:val="center"/>
              <w:rPr>
                <w:rFonts w:hint="eastAsia" w:ascii="宋体" w:hAnsi="宋体" w:eastAsia="宋体" w:cs="宋体"/>
                <w:i w:val="0"/>
                <w:iCs w:val="0"/>
                <w:color w:val="000000"/>
                <w:sz w:val="18"/>
                <w:szCs w:val="18"/>
                <w:u w:val="none" w:color="auto"/>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22D7036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D81D13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w:t>
            </w:r>
          </w:p>
        </w:tc>
        <w:tc>
          <w:tcPr>
            <w:tcW w:w="2074" w:type="dxa"/>
            <w:tcBorders>
              <w:top w:val="single" w:color="000000" w:sz="4" w:space="0"/>
              <w:left w:val="single" w:color="000000" w:sz="4" w:space="0"/>
              <w:bottom w:val="nil"/>
              <w:right w:val="single" w:color="000000" w:sz="4" w:space="0"/>
            </w:tcBorders>
            <w:shd w:val="clear" w:color="auto" w:fill="auto"/>
            <w:vAlign w:val="center"/>
          </w:tcPr>
          <w:p w14:paraId="5E41FB1A">
            <w:pPr>
              <w:jc w:val="center"/>
              <w:rPr>
                <w:rFonts w:hint="eastAsia" w:ascii="宋体" w:hAnsi="宋体" w:eastAsia="宋体" w:cs="宋体"/>
                <w:i w:val="0"/>
                <w:iCs w:val="0"/>
                <w:color w:val="000000"/>
                <w:sz w:val="18"/>
                <w:szCs w:val="18"/>
                <w:u w:val="none" w:color="auto"/>
              </w:rPr>
            </w:pPr>
          </w:p>
        </w:tc>
      </w:tr>
      <w:tr w14:paraId="69D21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38" w:type="dxa"/>
            <w:vMerge w:val="continue"/>
            <w:tcBorders>
              <w:top w:val="single" w:color="000000" w:sz="4" w:space="0"/>
              <w:left w:val="single" w:color="000000" w:sz="4" w:space="0"/>
              <w:bottom w:val="nil"/>
              <w:right w:val="single" w:color="000000" w:sz="4" w:space="0"/>
            </w:tcBorders>
            <w:shd w:val="clear" w:color="auto" w:fill="auto"/>
            <w:vAlign w:val="center"/>
          </w:tcPr>
          <w:p w14:paraId="476B2475">
            <w:pPr>
              <w:jc w:val="center"/>
              <w:rPr>
                <w:rFonts w:hint="eastAsia" w:ascii="宋体" w:hAnsi="宋体" w:eastAsia="宋体" w:cs="宋体"/>
                <w:i w:val="0"/>
                <w:iCs w:val="0"/>
                <w:color w:val="000000"/>
                <w:sz w:val="18"/>
                <w:szCs w:val="18"/>
                <w:u w:val="none" w:color="auto"/>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3D569B58">
            <w:pPr>
              <w:jc w:val="center"/>
              <w:rPr>
                <w:rFonts w:hint="eastAsia" w:ascii="宋体" w:hAnsi="宋体" w:eastAsia="宋体" w:cs="宋体"/>
                <w:i w:val="0"/>
                <w:iCs w:val="0"/>
                <w:color w:val="000000"/>
                <w:sz w:val="18"/>
                <w:szCs w:val="18"/>
                <w:u w:val="none" w:color="auto"/>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2C215106">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可持续影响</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EFF34C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及时解决系统运行的各类问题</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6E5600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定性</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3D92A9C">
            <w:pPr>
              <w:jc w:val="center"/>
              <w:rPr>
                <w:rFonts w:hint="eastAsia" w:ascii="宋体" w:hAnsi="宋体" w:eastAsia="宋体" w:cs="宋体"/>
                <w:i w:val="0"/>
                <w:iCs w:val="0"/>
                <w:color w:val="000000"/>
                <w:sz w:val="18"/>
                <w:szCs w:val="18"/>
                <w:u w:val="none" w:color="auto"/>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7DF33026">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效果显著</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B9BD51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效果显著</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2D3247C">
            <w:pPr>
              <w:jc w:val="center"/>
              <w:rPr>
                <w:rFonts w:hint="eastAsia" w:ascii="宋体" w:hAnsi="宋体" w:eastAsia="宋体" w:cs="宋体"/>
                <w:i w:val="0"/>
                <w:iCs w:val="0"/>
                <w:color w:val="000000"/>
                <w:sz w:val="18"/>
                <w:szCs w:val="18"/>
                <w:u w:val="none" w:color="auto"/>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3707E3F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D8516E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w:t>
            </w:r>
          </w:p>
        </w:tc>
        <w:tc>
          <w:tcPr>
            <w:tcW w:w="2074" w:type="dxa"/>
            <w:tcBorders>
              <w:top w:val="single" w:color="000000" w:sz="4" w:space="0"/>
              <w:left w:val="single" w:color="000000" w:sz="4" w:space="0"/>
              <w:bottom w:val="nil"/>
              <w:right w:val="single" w:color="000000" w:sz="4" w:space="0"/>
            </w:tcBorders>
            <w:shd w:val="clear" w:color="auto" w:fill="auto"/>
            <w:vAlign w:val="center"/>
          </w:tcPr>
          <w:p w14:paraId="5E0E190F">
            <w:pPr>
              <w:jc w:val="center"/>
              <w:rPr>
                <w:rFonts w:hint="eastAsia" w:ascii="宋体" w:hAnsi="宋体" w:eastAsia="宋体" w:cs="宋体"/>
                <w:i w:val="0"/>
                <w:iCs w:val="0"/>
                <w:color w:val="000000"/>
                <w:sz w:val="18"/>
                <w:szCs w:val="18"/>
                <w:u w:val="none" w:color="auto"/>
              </w:rPr>
            </w:pPr>
          </w:p>
        </w:tc>
      </w:tr>
      <w:tr w14:paraId="4F37A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38" w:type="dxa"/>
            <w:vMerge w:val="continue"/>
            <w:tcBorders>
              <w:top w:val="single" w:color="000000" w:sz="4" w:space="0"/>
              <w:left w:val="single" w:color="000000" w:sz="4" w:space="0"/>
              <w:bottom w:val="nil"/>
              <w:right w:val="single" w:color="000000" w:sz="4" w:space="0"/>
            </w:tcBorders>
            <w:shd w:val="clear" w:color="auto" w:fill="auto"/>
            <w:vAlign w:val="center"/>
          </w:tcPr>
          <w:p w14:paraId="0BD20208">
            <w:pPr>
              <w:jc w:val="center"/>
              <w:rPr>
                <w:rFonts w:hint="eastAsia" w:ascii="宋体" w:hAnsi="宋体" w:eastAsia="宋体" w:cs="宋体"/>
                <w:i w:val="0"/>
                <w:iCs w:val="0"/>
                <w:color w:val="000000"/>
                <w:sz w:val="18"/>
                <w:szCs w:val="18"/>
                <w:u w:val="none" w:color="auto"/>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13B98BB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满意度指标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C26952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服务对象满意度</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A2831D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使用人员满意度</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03B780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D18D85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F9AF7C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90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FAE5B6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90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3EA65F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6EF6A6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101208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w:t>
            </w:r>
          </w:p>
        </w:tc>
        <w:tc>
          <w:tcPr>
            <w:tcW w:w="2074" w:type="dxa"/>
            <w:tcBorders>
              <w:top w:val="single" w:color="000000" w:sz="4" w:space="0"/>
              <w:left w:val="single" w:color="000000" w:sz="4" w:space="0"/>
              <w:bottom w:val="nil"/>
              <w:right w:val="single" w:color="000000" w:sz="4" w:space="0"/>
            </w:tcBorders>
            <w:shd w:val="clear" w:color="auto" w:fill="auto"/>
            <w:vAlign w:val="center"/>
          </w:tcPr>
          <w:p w14:paraId="618CF660">
            <w:pPr>
              <w:jc w:val="center"/>
              <w:rPr>
                <w:rFonts w:hint="eastAsia" w:ascii="宋体" w:hAnsi="宋体" w:eastAsia="宋体" w:cs="宋体"/>
                <w:i w:val="0"/>
                <w:iCs w:val="0"/>
                <w:color w:val="000000"/>
                <w:sz w:val="18"/>
                <w:szCs w:val="18"/>
                <w:u w:val="none" w:color="auto"/>
              </w:rPr>
            </w:pPr>
          </w:p>
        </w:tc>
      </w:tr>
      <w:tr w14:paraId="660B4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753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EC2D9A6">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总分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2F1A31">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89C1F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100.00</w:t>
            </w:r>
          </w:p>
        </w:tc>
        <w:tc>
          <w:tcPr>
            <w:tcW w:w="2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07DD3">
            <w:pPr>
              <w:jc w:val="center"/>
              <w:rPr>
                <w:rFonts w:hint="eastAsia" w:ascii="宋体" w:hAnsi="宋体" w:eastAsia="宋体" w:cs="宋体"/>
                <w:i w:val="0"/>
                <w:iCs w:val="0"/>
                <w:color w:val="000000"/>
                <w:sz w:val="18"/>
                <w:szCs w:val="18"/>
                <w:u w:val="none" w:color="auto"/>
              </w:rPr>
            </w:pPr>
          </w:p>
        </w:tc>
      </w:tr>
    </w:tbl>
    <w:p w14:paraId="1C122242">
      <w:pPr>
        <w:keepNext w:val="0"/>
        <w:keepLines w:val="0"/>
        <w:widowControl/>
        <w:suppressLineNumbers w:val="0"/>
        <w:jc w:val="left"/>
        <w:rPr>
          <w:rFonts w:hint="default" w:ascii="仿宋" w:hAnsi="仿宋" w:eastAsia="仿宋" w:cs="仿宋"/>
          <w:color w:val="auto"/>
          <w:kern w:val="2"/>
          <w:sz w:val="32"/>
          <w:szCs w:val="32"/>
          <w:u w:val="none" w:color="auto"/>
          <w:lang w:val="en-US"/>
        </w:rPr>
      </w:pPr>
    </w:p>
    <w:p w14:paraId="047C2619">
      <w:pPr>
        <w:keepNext w:val="0"/>
        <w:keepLines w:val="0"/>
        <w:widowControl/>
        <w:suppressLineNumbers w:val="0"/>
        <w:jc w:val="left"/>
        <w:rPr>
          <w:rFonts w:hint="default" w:ascii="仿宋" w:hAnsi="仿宋" w:eastAsia="仿宋" w:cs="仿宋"/>
          <w:color w:val="auto"/>
          <w:kern w:val="2"/>
          <w:sz w:val="32"/>
          <w:szCs w:val="32"/>
          <w:u w:val="none" w:color="auto"/>
          <w:lang w:val="en-US"/>
        </w:rPr>
      </w:pPr>
    </w:p>
    <w:p w14:paraId="42FFC253">
      <w:pPr>
        <w:keepNext w:val="0"/>
        <w:keepLines w:val="0"/>
        <w:widowControl/>
        <w:suppressLineNumbers w:val="0"/>
        <w:jc w:val="left"/>
        <w:rPr>
          <w:rFonts w:hint="default" w:ascii="仿宋" w:hAnsi="仿宋" w:eastAsia="仿宋" w:cs="仿宋"/>
          <w:color w:val="auto"/>
          <w:kern w:val="2"/>
          <w:sz w:val="32"/>
          <w:szCs w:val="32"/>
          <w:u w:val="none" w:color="auto"/>
          <w:lang w:val="en-US"/>
        </w:rPr>
      </w:pPr>
    </w:p>
    <w:p w14:paraId="61CC3707">
      <w:pPr>
        <w:keepNext w:val="0"/>
        <w:keepLines w:val="0"/>
        <w:widowControl/>
        <w:suppressLineNumbers w:val="0"/>
        <w:jc w:val="left"/>
        <w:rPr>
          <w:rFonts w:hint="default" w:ascii="仿宋" w:hAnsi="仿宋" w:eastAsia="仿宋" w:cs="仿宋"/>
          <w:color w:val="auto"/>
          <w:kern w:val="2"/>
          <w:sz w:val="32"/>
          <w:szCs w:val="32"/>
          <w:u w:val="none" w:color="auto"/>
          <w:lang w:val="en-US"/>
        </w:rPr>
      </w:pPr>
    </w:p>
    <w:p w14:paraId="1F7AD931">
      <w:pPr>
        <w:keepNext w:val="0"/>
        <w:keepLines w:val="0"/>
        <w:widowControl/>
        <w:suppressLineNumbers w:val="0"/>
        <w:jc w:val="left"/>
        <w:rPr>
          <w:rFonts w:hint="default" w:ascii="仿宋" w:hAnsi="仿宋" w:eastAsia="仿宋" w:cs="仿宋"/>
          <w:color w:val="auto"/>
          <w:kern w:val="2"/>
          <w:sz w:val="32"/>
          <w:szCs w:val="32"/>
          <w:u w:val="none" w:color="auto"/>
          <w:lang w:val="en-US"/>
        </w:rPr>
      </w:pPr>
    </w:p>
    <w:p w14:paraId="46195110">
      <w:pPr>
        <w:keepNext w:val="0"/>
        <w:keepLines w:val="0"/>
        <w:widowControl/>
        <w:suppressLineNumbers w:val="0"/>
        <w:jc w:val="left"/>
        <w:rPr>
          <w:rFonts w:hint="default" w:ascii="仿宋" w:hAnsi="仿宋" w:eastAsia="仿宋" w:cs="仿宋"/>
          <w:color w:val="auto"/>
          <w:kern w:val="2"/>
          <w:sz w:val="32"/>
          <w:szCs w:val="32"/>
          <w:u w:val="none" w:color="auto"/>
          <w:lang w:val="en-US"/>
        </w:rPr>
      </w:pPr>
    </w:p>
    <w:p w14:paraId="32FBEF49">
      <w:pPr>
        <w:keepNext w:val="0"/>
        <w:keepLines w:val="0"/>
        <w:widowControl/>
        <w:suppressLineNumbers w:val="0"/>
        <w:jc w:val="left"/>
        <w:rPr>
          <w:rFonts w:hint="default" w:ascii="仿宋" w:hAnsi="仿宋" w:eastAsia="仿宋" w:cs="仿宋"/>
          <w:color w:val="auto"/>
          <w:kern w:val="2"/>
          <w:sz w:val="32"/>
          <w:szCs w:val="32"/>
          <w:u w:val="none" w:color="auto"/>
          <w:lang w:val="en-US"/>
        </w:rPr>
      </w:pPr>
    </w:p>
    <w:p w14:paraId="03EE67EE">
      <w:pPr>
        <w:keepNext w:val="0"/>
        <w:keepLines w:val="0"/>
        <w:widowControl/>
        <w:suppressLineNumbers w:val="0"/>
        <w:jc w:val="left"/>
        <w:rPr>
          <w:rFonts w:hint="default" w:ascii="仿宋" w:hAnsi="仿宋" w:eastAsia="仿宋" w:cs="仿宋"/>
          <w:color w:val="auto"/>
          <w:kern w:val="2"/>
          <w:sz w:val="32"/>
          <w:szCs w:val="32"/>
          <w:u w:val="none" w:color="auto"/>
          <w:lang w:val="en-US"/>
        </w:rPr>
      </w:pPr>
    </w:p>
    <w:tbl>
      <w:tblPr>
        <w:tblStyle w:val="19"/>
        <w:tblW w:w="10890" w:type="dxa"/>
        <w:tblInd w:w="-121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935"/>
        <w:gridCol w:w="1063"/>
        <w:gridCol w:w="740"/>
        <w:gridCol w:w="916"/>
        <w:gridCol w:w="499"/>
        <w:gridCol w:w="499"/>
        <w:gridCol w:w="758"/>
        <w:gridCol w:w="666"/>
        <w:gridCol w:w="611"/>
        <w:gridCol w:w="492"/>
        <w:gridCol w:w="623"/>
        <w:gridCol w:w="2088"/>
      </w:tblGrid>
      <w:tr w14:paraId="58AF2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0890"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3EBD2D09">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color="auto"/>
              </w:rPr>
            </w:pPr>
            <w:r>
              <w:rPr>
                <w:rFonts w:hint="eastAsia" w:ascii="宋体" w:hAnsi="宋体" w:eastAsia="宋体" w:cs="宋体"/>
                <w:b/>
                <w:bCs/>
                <w:i w:val="0"/>
                <w:iCs w:val="0"/>
                <w:color w:val="000000"/>
                <w:kern w:val="0"/>
                <w:sz w:val="40"/>
                <w:szCs w:val="40"/>
                <w:u w:val="none" w:color="auto"/>
                <w:lang w:val="en-US" w:eastAsia="zh-CN" w:bidi="ar"/>
              </w:rPr>
              <w:t>项目支出绩效自评表</w:t>
            </w:r>
            <w:r>
              <w:rPr>
                <w:rFonts w:hint="eastAsia" w:ascii="宋体" w:hAnsi="宋体" w:eastAsia="宋体" w:cs="宋体"/>
                <w:b/>
                <w:bCs/>
                <w:i w:val="0"/>
                <w:iCs w:val="0"/>
                <w:color w:val="000000"/>
                <w:kern w:val="0"/>
                <w:sz w:val="40"/>
                <w:szCs w:val="40"/>
                <w:u w:val="none" w:color="auto"/>
                <w:lang w:val="en-US" w:eastAsia="zh-CN" w:bidi="ar"/>
              </w:rPr>
              <w:br w:type="textWrapping"/>
            </w:r>
            <w:r>
              <w:rPr>
                <w:rFonts w:hint="eastAsia" w:ascii="宋体" w:hAnsi="宋体" w:eastAsia="宋体" w:cs="宋体"/>
                <w:b/>
                <w:bCs/>
                <w:i w:val="0"/>
                <w:iCs w:val="0"/>
                <w:color w:val="000000"/>
                <w:kern w:val="0"/>
                <w:sz w:val="40"/>
                <w:szCs w:val="40"/>
                <w:u w:val="none" w:color="auto"/>
                <w:lang w:val="en-US" w:eastAsia="zh-CN" w:bidi="ar"/>
              </w:rPr>
              <w:t>(2025年度）</w:t>
            </w:r>
          </w:p>
        </w:tc>
      </w:tr>
      <w:tr w14:paraId="643FB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8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369546">
            <w:pPr>
              <w:keepNext w:val="0"/>
              <w:keepLines w:val="0"/>
              <w:widowControl/>
              <w:suppressLineNumbers w:val="0"/>
              <w:jc w:val="righ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项目名称</w:t>
            </w:r>
          </w:p>
        </w:tc>
        <w:tc>
          <w:tcPr>
            <w:tcW w:w="804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AA7C0A4">
            <w:pPr>
              <w:keepNext w:val="0"/>
              <w:keepLines w:val="0"/>
              <w:widowControl/>
              <w:suppressLineNumbers w:val="0"/>
              <w:jc w:val="lef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新型 婚育文化建设试点项目</w:t>
            </w:r>
          </w:p>
        </w:tc>
      </w:tr>
      <w:tr w14:paraId="44374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8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AC67AB">
            <w:pPr>
              <w:keepNext w:val="0"/>
              <w:keepLines w:val="0"/>
              <w:widowControl/>
              <w:suppressLineNumbers w:val="0"/>
              <w:jc w:val="righ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主管部门</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8D641E">
            <w:pPr>
              <w:keepNext w:val="0"/>
              <w:keepLines w:val="0"/>
              <w:widowControl/>
              <w:suppressLineNumbers w:val="0"/>
              <w:jc w:val="lef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巴彦淖尔市卫生健康委员会（部门）</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74978D">
            <w:pPr>
              <w:keepNext w:val="0"/>
              <w:keepLines w:val="0"/>
              <w:widowControl/>
              <w:suppressLineNumbers w:val="0"/>
              <w:jc w:val="righ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实施单位</w:t>
            </w:r>
          </w:p>
        </w:tc>
        <w:tc>
          <w:tcPr>
            <w:tcW w:w="403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84BFDCF">
            <w:pPr>
              <w:keepNext w:val="0"/>
              <w:keepLines w:val="0"/>
              <w:widowControl/>
              <w:suppressLineNumbers w:val="0"/>
              <w:jc w:val="lef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巴彦淖尔市卫生健康委员会</w:t>
            </w:r>
          </w:p>
        </w:tc>
      </w:tr>
      <w:tr w14:paraId="27B99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84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CA98D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项目资金</w:t>
            </w:r>
            <w:r>
              <w:rPr>
                <w:rFonts w:hint="eastAsia" w:ascii="宋体" w:hAnsi="宋体" w:eastAsia="宋体" w:cs="宋体"/>
                <w:i w:val="0"/>
                <w:iCs w:val="0"/>
                <w:color w:val="000000"/>
                <w:kern w:val="0"/>
                <w:sz w:val="18"/>
                <w:szCs w:val="18"/>
                <w:u w:val="none" w:color="auto"/>
                <w:lang w:val="en-US" w:eastAsia="zh-CN" w:bidi="ar"/>
              </w:rPr>
              <w:br w:type="textWrapping"/>
            </w:r>
            <w:r>
              <w:rPr>
                <w:rFonts w:hint="eastAsia" w:ascii="宋体" w:hAnsi="宋体" w:eastAsia="宋体" w:cs="宋体"/>
                <w:i w:val="0"/>
                <w:iCs w:val="0"/>
                <w:color w:val="000000"/>
                <w:kern w:val="0"/>
                <w:sz w:val="18"/>
                <w:szCs w:val="18"/>
                <w:u w:val="none" w:color="auto"/>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4626DA">
            <w:pPr>
              <w:rPr>
                <w:rFonts w:hint="eastAsia" w:ascii="宋体" w:hAnsi="宋体" w:eastAsia="宋体" w:cs="宋体"/>
                <w:i w:val="0"/>
                <w:iCs w:val="0"/>
                <w:color w:val="000000"/>
                <w:sz w:val="18"/>
                <w:szCs w:val="18"/>
                <w:u w:val="none" w:color="auto"/>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1EC1D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年初预算数</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74BFF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全年预算数</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E94D0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全年执行数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F9CD5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分值</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9BFFA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执行率（%）</w:t>
            </w:r>
          </w:p>
        </w:tc>
        <w:tc>
          <w:tcPr>
            <w:tcW w:w="2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8283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得分</w:t>
            </w:r>
          </w:p>
        </w:tc>
      </w:tr>
      <w:tr w14:paraId="6E622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8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CE69ED">
            <w:pPr>
              <w:jc w:val="center"/>
              <w:rPr>
                <w:rFonts w:hint="eastAsia" w:ascii="宋体" w:hAnsi="宋体" w:eastAsia="宋体" w:cs="宋体"/>
                <w:i w:val="0"/>
                <w:iCs w:val="0"/>
                <w:color w:val="000000"/>
                <w:sz w:val="18"/>
                <w:szCs w:val="18"/>
                <w:u w:val="none" w:color="auto"/>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26890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年度资金总额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3171D6">
            <w:pPr>
              <w:keepNext w:val="0"/>
              <w:keepLines w:val="0"/>
              <w:widowControl/>
              <w:suppressLineNumbers w:val="0"/>
              <w:jc w:val="lef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C209A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8B996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14.85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BA99F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B653AA">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99</w:t>
            </w:r>
          </w:p>
        </w:tc>
        <w:tc>
          <w:tcPr>
            <w:tcW w:w="2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B5EA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9.9</w:t>
            </w:r>
          </w:p>
        </w:tc>
      </w:tr>
      <w:tr w14:paraId="7413F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8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6EEAA">
            <w:pPr>
              <w:jc w:val="center"/>
              <w:rPr>
                <w:rFonts w:hint="eastAsia" w:ascii="宋体" w:hAnsi="宋体" w:eastAsia="宋体" w:cs="宋体"/>
                <w:i w:val="0"/>
                <w:iCs w:val="0"/>
                <w:color w:val="000000"/>
                <w:sz w:val="18"/>
                <w:szCs w:val="18"/>
                <w:u w:val="none" w:color="auto"/>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F49E9E">
            <w:pPr>
              <w:keepNext w:val="0"/>
              <w:keepLines w:val="0"/>
              <w:widowControl/>
              <w:suppressLineNumbers w:val="0"/>
              <w:jc w:val="lef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其中：财政拨款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1098E9">
            <w:pPr>
              <w:keepNext w:val="0"/>
              <w:keepLines w:val="0"/>
              <w:widowControl/>
              <w:suppressLineNumbers w:val="0"/>
              <w:jc w:val="lef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D26AA6">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D46EC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597E8">
            <w:pPr>
              <w:keepNext w:val="0"/>
              <w:keepLines w:val="0"/>
              <w:widowControl/>
              <w:suppressLineNumbers w:val="0"/>
              <w:jc w:val="center"/>
              <w:textAlignment w:val="center"/>
              <w:rPr>
                <w:rFonts w:ascii="Arial" w:hAnsi="Arial" w:eastAsia="宋体" w:cs="Arial"/>
                <w:i w:val="0"/>
                <w:iCs w:val="0"/>
                <w:color w:val="222222"/>
                <w:sz w:val="19"/>
                <w:szCs w:val="19"/>
                <w:u w:val="none" w:color="auto"/>
              </w:rPr>
            </w:pPr>
            <w:r>
              <w:rPr>
                <w:rFonts w:hint="default" w:ascii="Arial" w:hAnsi="Arial" w:eastAsia="宋体" w:cs="Arial"/>
                <w:i w:val="0"/>
                <w:iCs w:val="0"/>
                <w:color w:val="222222"/>
                <w:kern w:val="0"/>
                <w:sz w:val="19"/>
                <w:szCs w:val="19"/>
                <w:u w:val="none" w:color="auto"/>
                <w:lang w:val="en-US" w:eastAsia="zh-CN" w:bidi="ar"/>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5EE88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0</w:t>
            </w:r>
          </w:p>
        </w:tc>
        <w:tc>
          <w:tcPr>
            <w:tcW w:w="2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3D2AC">
            <w:pPr>
              <w:keepNext w:val="0"/>
              <w:keepLines w:val="0"/>
              <w:widowControl/>
              <w:suppressLineNumbers w:val="0"/>
              <w:jc w:val="center"/>
              <w:textAlignment w:val="center"/>
              <w:rPr>
                <w:rFonts w:hint="default" w:ascii="Arial" w:hAnsi="Arial" w:eastAsia="宋体" w:cs="Arial"/>
                <w:i w:val="0"/>
                <w:iCs w:val="0"/>
                <w:color w:val="222222"/>
                <w:sz w:val="19"/>
                <w:szCs w:val="19"/>
                <w:u w:val="none" w:color="auto"/>
              </w:rPr>
            </w:pPr>
            <w:r>
              <w:rPr>
                <w:rFonts w:hint="default" w:ascii="Arial" w:hAnsi="Arial" w:eastAsia="宋体" w:cs="Arial"/>
                <w:i w:val="0"/>
                <w:iCs w:val="0"/>
                <w:color w:val="222222"/>
                <w:kern w:val="0"/>
                <w:sz w:val="19"/>
                <w:szCs w:val="19"/>
                <w:u w:val="none" w:color="auto"/>
                <w:lang w:val="en-US" w:eastAsia="zh-CN" w:bidi="ar"/>
              </w:rPr>
              <w:t>——</w:t>
            </w:r>
          </w:p>
        </w:tc>
      </w:tr>
      <w:tr w14:paraId="33595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8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C854E">
            <w:pPr>
              <w:jc w:val="center"/>
              <w:rPr>
                <w:rFonts w:hint="eastAsia" w:ascii="宋体" w:hAnsi="宋体" w:eastAsia="宋体" w:cs="宋体"/>
                <w:i w:val="0"/>
                <w:iCs w:val="0"/>
                <w:color w:val="000000"/>
                <w:sz w:val="18"/>
                <w:szCs w:val="18"/>
                <w:u w:val="none" w:color="auto"/>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24DFEA">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上年结转资金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C529A2">
            <w:pPr>
              <w:rPr>
                <w:rFonts w:hint="eastAsia" w:ascii="宋体" w:hAnsi="宋体" w:eastAsia="宋体" w:cs="宋体"/>
                <w:i w:val="0"/>
                <w:iCs w:val="0"/>
                <w:color w:val="000000"/>
                <w:sz w:val="18"/>
                <w:szCs w:val="18"/>
                <w:u w:val="none" w:color="auto"/>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47CB73">
            <w:pPr>
              <w:jc w:val="center"/>
              <w:rPr>
                <w:rFonts w:hint="eastAsia" w:ascii="宋体" w:hAnsi="宋体" w:eastAsia="宋体" w:cs="宋体"/>
                <w:i w:val="0"/>
                <w:iCs w:val="0"/>
                <w:color w:val="000000"/>
                <w:sz w:val="18"/>
                <w:szCs w:val="18"/>
                <w:u w:val="none" w:color="auto"/>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311CCE">
            <w:pPr>
              <w:jc w:val="center"/>
              <w:rPr>
                <w:rFonts w:hint="eastAsia" w:ascii="宋体" w:hAnsi="宋体" w:eastAsia="宋体" w:cs="宋体"/>
                <w:i w:val="0"/>
                <w:iCs w:val="0"/>
                <w:color w:val="000000"/>
                <w:sz w:val="18"/>
                <w:szCs w:val="18"/>
                <w:u w:val="none" w:color="auto"/>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FEB50">
            <w:pPr>
              <w:keepNext w:val="0"/>
              <w:keepLines w:val="0"/>
              <w:widowControl/>
              <w:suppressLineNumbers w:val="0"/>
              <w:jc w:val="center"/>
              <w:textAlignment w:val="center"/>
              <w:rPr>
                <w:rFonts w:hint="default" w:ascii="Arial" w:hAnsi="Arial" w:eastAsia="宋体" w:cs="Arial"/>
                <w:i w:val="0"/>
                <w:iCs w:val="0"/>
                <w:color w:val="222222"/>
                <w:sz w:val="19"/>
                <w:szCs w:val="19"/>
                <w:u w:val="none" w:color="auto"/>
              </w:rPr>
            </w:pPr>
            <w:r>
              <w:rPr>
                <w:rFonts w:hint="default" w:ascii="Arial" w:hAnsi="Arial" w:eastAsia="宋体" w:cs="Arial"/>
                <w:i w:val="0"/>
                <w:iCs w:val="0"/>
                <w:color w:val="222222"/>
                <w:kern w:val="0"/>
                <w:sz w:val="19"/>
                <w:szCs w:val="19"/>
                <w:u w:val="none" w:color="auto"/>
                <w:lang w:val="en-US" w:eastAsia="zh-CN" w:bidi="ar"/>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CD7EC1">
            <w:pPr>
              <w:jc w:val="center"/>
              <w:rPr>
                <w:rFonts w:hint="eastAsia" w:ascii="宋体" w:hAnsi="宋体" w:eastAsia="宋体" w:cs="宋体"/>
                <w:i w:val="0"/>
                <w:iCs w:val="0"/>
                <w:color w:val="000000"/>
                <w:sz w:val="18"/>
                <w:szCs w:val="18"/>
                <w:u w:val="none" w:color="auto"/>
              </w:rPr>
            </w:pPr>
          </w:p>
        </w:tc>
        <w:tc>
          <w:tcPr>
            <w:tcW w:w="2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BEEF4">
            <w:pPr>
              <w:keepNext w:val="0"/>
              <w:keepLines w:val="0"/>
              <w:widowControl/>
              <w:suppressLineNumbers w:val="0"/>
              <w:jc w:val="center"/>
              <w:textAlignment w:val="center"/>
              <w:rPr>
                <w:rFonts w:hint="default" w:ascii="Arial" w:hAnsi="Arial" w:eastAsia="宋体" w:cs="Arial"/>
                <w:i w:val="0"/>
                <w:iCs w:val="0"/>
                <w:color w:val="222222"/>
                <w:sz w:val="19"/>
                <w:szCs w:val="19"/>
                <w:u w:val="none" w:color="auto"/>
              </w:rPr>
            </w:pPr>
            <w:r>
              <w:rPr>
                <w:rFonts w:hint="default" w:ascii="Arial" w:hAnsi="Arial" w:eastAsia="宋体" w:cs="Arial"/>
                <w:i w:val="0"/>
                <w:iCs w:val="0"/>
                <w:color w:val="222222"/>
                <w:kern w:val="0"/>
                <w:sz w:val="19"/>
                <w:szCs w:val="19"/>
                <w:u w:val="none" w:color="auto"/>
                <w:lang w:val="en-US" w:eastAsia="zh-CN" w:bidi="ar"/>
              </w:rPr>
              <w:t>——</w:t>
            </w:r>
          </w:p>
        </w:tc>
      </w:tr>
      <w:tr w14:paraId="2EDE0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8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E542E">
            <w:pPr>
              <w:jc w:val="center"/>
              <w:rPr>
                <w:rFonts w:hint="eastAsia" w:ascii="宋体" w:hAnsi="宋体" w:eastAsia="宋体" w:cs="宋体"/>
                <w:i w:val="0"/>
                <w:iCs w:val="0"/>
                <w:color w:val="000000"/>
                <w:sz w:val="18"/>
                <w:szCs w:val="18"/>
                <w:u w:val="none" w:color="auto"/>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4F1A6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4F5E57">
            <w:pPr>
              <w:keepNext w:val="0"/>
              <w:keepLines w:val="0"/>
              <w:widowControl/>
              <w:suppressLineNumbers w:val="0"/>
              <w:jc w:val="lef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52CECA">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95EDC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14.85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3DFE6">
            <w:pPr>
              <w:keepNext w:val="0"/>
              <w:keepLines w:val="0"/>
              <w:widowControl/>
              <w:suppressLineNumbers w:val="0"/>
              <w:jc w:val="center"/>
              <w:textAlignment w:val="center"/>
              <w:rPr>
                <w:rFonts w:hint="default" w:ascii="Arial" w:hAnsi="Arial" w:eastAsia="宋体" w:cs="Arial"/>
                <w:i w:val="0"/>
                <w:iCs w:val="0"/>
                <w:color w:val="222222"/>
                <w:sz w:val="19"/>
                <w:szCs w:val="19"/>
                <w:u w:val="none" w:color="auto"/>
              </w:rPr>
            </w:pPr>
            <w:r>
              <w:rPr>
                <w:rFonts w:hint="default" w:ascii="Arial" w:hAnsi="Arial" w:eastAsia="宋体" w:cs="Arial"/>
                <w:i w:val="0"/>
                <w:iCs w:val="0"/>
                <w:color w:val="222222"/>
                <w:kern w:val="0"/>
                <w:sz w:val="19"/>
                <w:szCs w:val="19"/>
                <w:u w:val="none" w:color="auto"/>
                <w:lang w:val="en-US" w:eastAsia="zh-CN" w:bidi="ar"/>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4F301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99</w:t>
            </w:r>
          </w:p>
        </w:tc>
        <w:tc>
          <w:tcPr>
            <w:tcW w:w="2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FBFFE">
            <w:pPr>
              <w:keepNext w:val="0"/>
              <w:keepLines w:val="0"/>
              <w:widowControl/>
              <w:suppressLineNumbers w:val="0"/>
              <w:jc w:val="center"/>
              <w:textAlignment w:val="center"/>
              <w:rPr>
                <w:rFonts w:hint="default" w:ascii="Arial" w:hAnsi="Arial" w:eastAsia="宋体" w:cs="Arial"/>
                <w:i w:val="0"/>
                <w:iCs w:val="0"/>
                <w:color w:val="222222"/>
                <w:sz w:val="19"/>
                <w:szCs w:val="19"/>
                <w:u w:val="none" w:color="auto"/>
              </w:rPr>
            </w:pPr>
            <w:r>
              <w:rPr>
                <w:rFonts w:hint="default" w:ascii="Arial" w:hAnsi="Arial" w:eastAsia="宋体" w:cs="Arial"/>
                <w:i w:val="0"/>
                <w:iCs w:val="0"/>
                <w:color w:val="222222"/>
                <w:kern w:val="0"/>
                <w:sz w:val="19"/>
                <w:szCs w:val="19"/>
                <w:u w:val="none" w:color="auto"/>
                <w:lang w:val="en-US" w:eastAsia="zh-CN" w:bidi="ar"/>
              </w:rPr>
              <w:t>——</w:t>
            </w:r>
          </w:p>
        </w:tc>
      </w:tr>
      <w:tr w14:paraId="59AFD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84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BD34B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2464F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预期目标</w:t>
            </w:r>
          </w:p>
        </w:tc>
        <w:tc>
          <w:tcPr>
            <w:tcW w:w="488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C522A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实际完成情况</w:t>
            </w:r>
          </w:p>
        </w:tc>
      </w:tr>
      <w:tr w14:paraId="5AA96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trPr>
        <w:tc>
          <w:tcPr>
            <w:tcW w:w="28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6346B7">
            <w:pPr>
              <w:jc w:val="center"/>
              <w:rPr>
                <w:rFonts w:hint="eastAsia" w:ascii="宋体" w:hAnsi="宋体" w:eastAsia="宋体" w:cs="宋体"/>
                <w:i w:val="0"/>
                <w:iCs w:val="0"/>
                <w:color w:val="000000"/>
                <w:sz w:val="18"/>
                <w:szCs w:val="18"/>
                <w:u w:val="none" w:color="auto"/>
              </w:rPr>
            </w:pP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8D7B5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做好生育政策宣传倡导和解读，推动辖区育龄人群生育政策及配套支持措施知晓率超过80%。积极培育新型婚育文化，加强对年轻人婚恋观、生育观、家庭观的引导。积极倡导机关、企事业单位及社会各界共同参与，营造良好的支持环境和社会氛围。发挥试点示范引领作用，探索形成计生协新型婚育文化建设工作的成熟经验。</w:t>
            </w:r>
          </w:p>
        </w:tc>
        <w:tc>
          <w:tcPr>
            <w:tcW w:w="488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51F79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 xml:space="preserve"> 做好生育政策宣传倡导和解读，推动辖区育龄人群生育政策及配套支持措施知晓率超过80%。积极培育新型婚育文化，加强对年轻人婚恋观、生育观、家庭观的引导。积极倡导机关、企事业单位及社会各界共同参与，营造良好的支持环境和社会氛围。发挥试点示范引领作用，探索形成计生协新型婚育文化建设工作的成熟经验。</w:t>
            </w:r>
          </w:p>
        </w:tc>
      </w:tr>
      <w:tr w14:paraId="4B2DC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51D9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绩效指标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CD51A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BCC03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5C1A0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967A4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指标性质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57C67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指标方向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7528B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年度指标值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F2B556">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实际完成值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3DD1E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计量单位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6875C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分值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0EF02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得分</w:t>
            </w:r>
          </w:p>
        </w:tc>
        <w:tc>
          <w:tcPr>
            <w:tcW w:w="2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9FB8F">
            <w:pPr>
              <w:keepNext w:val="0"/>
              <w:keepLines w:val="0"/>
              <w:widowControl/>
              <w:suppressLineNumbers w:val="0"/>
              <w:jc w:val="left"/>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偏差原因分析及改进措施</w:t>
            </w:r>
          </w:p>
        </w:tc>
      </w:tr>
      <w:tr w14:paraId="3A3D2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10" w:type="dxa"/>
            <w:vMerge w:val="restart"/>
            <w:tcBorders>
              <w:top w:val="single" w:color="000000" w:sz="4" w:space="0"/>
              <w:left w:val="single" w:color="000000" w:sz="4" w:space="0"/>
              <w:bottom w:val="nil"/>
              <w:right w:val="single" w:color="000000" w:sz="4" w:space="0"/>
            </w:tcBorders>
            <w:shd w:val="clear" w:color="auto" w:fill="auto"/>
            <w:vAlign w:val="center"/>
          </w:tcPr>
          <w:p w14:paraId="2DAF7F5A">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绩效指标</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40E1312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产出指标</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08084001">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数量指标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099B0F6">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新型婚育文化知识宣讲人数</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BBC037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68EE8B1">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0B4C18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2</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4E9440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2</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255268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万人</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121F0D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7.5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233C3F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7.5</w:t>
            </w:r>
          </w:p>
        </w:tc>
        <w:tc>
          <w:tcPr>
            <w:tcW w:w="2061" w:type="dxa"/>
            <w:tcBorders>
              <w:top w:val="single" w:color="000000" w:sz="4" w:space="0"/>
              <w:left w:val="single" w:color="000000" w:sz="4" w:space="0"/>
              <w:bottom w:val="nil"/>
              <w:right w:val="single" w:color="000000" w:sz="4" w:space="0"/>
            </w:tcBorders>
            <w:shd w:val="clear" w:color="auto" w:fill="auto"/>
            <w:vAlign w:val="center"/>
          </w:tcPr>
          <w:p w14:paraId="33BCAFBC">
            <w:pPr>
              <w:jc w:val="center"/>
              <w:rPr>
                <w:rFonts w:hint="eastAsia" w:ascii="宋体" w:hAnsi="宋体" w:eastAsia="宋体" w:cs="宋体"/>
                <w:i w:val="0"/>
                <w:iCs w:val="0"/>
                <w:color w:val="000000"/>
                <w:sz w:val="18"/>
                <w:szCs w:val="18"/>
                <w:u w:val="none" w:color="auto"/>
              </w:rPr>
            </w:pPr>
          </w:p>
        </w:tc>
      </w:tr>
      <w:tr w14:paraId="43A92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10" w:type="dxa"/>
            <w:vMerge w:val="continue"/>
            <w:tcBorders>
              <w:top w:val="single" w:color="000000" w:sz="4" w:space="0"/>
              <w:left w:val="single" w:color="000000" w:sz="4" w:space="0"/>
              <w:bottom w:val="nil"/>
              <w:right w:val="single" w:color="000000" w:sz="4" w:space="0"/>
            </w:tcBorders>
            <w:shd w:val="clear" w:color="auto" w:fill="auto"/>
            <w:vAlign w:val="center"/>
          </w:tcPr>
          <w:p w14:paraId="3A6A9D20">
            <w:pPr>
              <w:jc w:val="center"/>
              <w:rPr>
                <w:rFonts w:hint="eastAsia" w:ascii="宋体" w:hAnsi="宋体" w:eastAsia="宋体" w:cs="宋体"/>
                <w:i w:val="0"/>
                <w:iCs w:val="0"/>
                <w:color w:val="000000"/>
                <w:sz w:val="18"/>
                <w:szCs w:val="18"/>
                <w:u w:val="none" w:color="auto"/>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FC223E9">
            <w:pPr>
              <w:jc w:val="center"/>
              <w:rPr>
                <w:rFonts w:hint="eastAsia" w:ascii="宋体" w:hAnsi="宋体" w:eastAsia="宋体" w:cs="宋体"/>
                <w:i w:val="0"/>
                <w:iCs w:val="0"/>
                <w:color w:val="000000"/>
                <w:sz w:val="18"/>
                <w:szCs w:val="18"/>
                <w:u w:val="none" w:color="auto"/>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539CE0D">
            <w:pPr>
              <w:jc w:val="center"/>
              <w:rPr>
                <w:rFonts w:hint="eastAsia" w:ascii="宋体" w:hAnsi="宋体" w:eastAsia="宋体" w:cs="宋体"/>
                <w:i w:val="0"/>
                <w:iCs w:val="0"/>
                <w:color w:val="000000"/>
                <w:sz w:val="18"/>
                <w:szCs w:val="18"/>
                <w:u w:val="none" w:color="auto"/>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52C78B26">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项目覆盖旗县区</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904961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58B69B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789F10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7</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A8E5E8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7</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0EF37FA">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个</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2A9E211">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7.5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7D7041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7.5</w:t>
            </w:r>
          </w:p>
        </w:tc>
        <w:tc>
          <w:tcPr>
            <w:tcW w:w="2061" w:type="dxa"/>
            <w:tcBorders>
              <w:top w:val="single" w:color="000000" w:sz="4" w:space="0"/>
              <w:left w:val="single" w:color="000000" w:sz="4" w:space="0"/>
              <w:bottom w:val="nil"/>
              <w:right w:val="single" w:color="000000" w:sz="4" w:space="0"/>
            </w:tcBorders>
            <w:shd w:val="clear" w:color="auto" w:fill="auto"/>
            <w:vAlign w:val="center"/>
          </w:tcPr>
          <w:p w14:paraId="56FE2AB0">
            <w:pPr>
              <w:jc w:val="center"/>
              <w:rPr>
                <w:rFonts w:hint="eastAsia" w:ascii="宋体" w:hAnsi="宋体" w:eastAsia="宋体" w:cs="宋体"/>
                <w:i w:val="0"/>
                <w:iCs w:val="0"/>
                <w:color w:val="000000"/>
                <w:sz w:val="18"/>
                <w:szCs w:val="18"/>
                <w:u w:val="none" w:color="auto"/>
              </w:rPr>
            </w:pPr>
          </w:p>
        </w:tc>
      </w:tr>
      <w:tr w14:paraId="4DE3A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10" w:type="dxa"/>
            <w:vMerge w:val="continue"/>
            <w:tcBorders>
              <w:top w:val="single" w:color="000000" w:sz="4" w:space="0"/>
              <w:left w:val="single" w:color="000000" w:sz="4" w:space="0"/>
              <w:bottom w:val="nil"/>
              <w:right w:val="single" w:color="000000" w:sz="4" w:space="0"/>
            </w:tcBorders>
            <w:shd w:val="clear" w:color="auto" w:fill="auto"/>
            <w:vAlign w:val="center"/>
          </w:tcPr>
          <w:p w14:paraId="692CDCE1">
            <w:pPr>
              <w:jc w:val="center"/>
              <w:rPr>
                <w:rFonts w:hint="eastAsia" w:ascii="宋体" w:hAnsi="宋体" w:eastAsia="宋体" w:cs="宋体"/>
                <w:i w:val="0"/>
                <w:iCs w:val="0"/>
                <w:color w:val="000000"/>
                <w:sz w:val="18"/>
                <w:szCs w:val="18"/>
                <w:u w:val="none" w:color="auto"/>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A3EF24F">
            <w:pPr>
              <w:jc w:val="center"/>
              <w:rPr>
                <w:rFonts w:hint="eastAsia" w:ascii="宋体" w:hAnsi="宋体" w:eastAsia="宋体" w:cs="宋体"/>
                <w:i w:val="0"/>
                <w:iCs w:val="0"/>
                <w:color w:val="000000"/>
                <w:sz w:val="18"/>
                <w:szCs w:val="18"/>
                <w:u w:val="none" w:color="auto"/>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38B18DC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质量指标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20232C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新型婚育文化阵地建设</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B590C76">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7B4B62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C84A94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7</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262D5C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7</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94C05C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个</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81E426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7.5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2B1AD2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7.5</w:t>
            </w:r>
          </w:p>
        </w:tc>
        <w:tc>
          <w:tcPr>
            <w:tcW w:w="2061" w:type="dxa"/>
            <w:tcBorders>
              <w:top w:val="single" w:color="000000" w:sz="4" w:space="0"/>
              <w:left w:val="single" w:color="000000" w:sz="4" w:space="0"/>
              <w:bottom w:val="nil"/>
              <w:right w:val="single" w:color="000000" w:sz="4" w:space="0"/>
            </w:tcBorders>
            <w:shd w:val="clear" w:color="auto" w:fill="auto"/>
            <w:vAlign w:val="center"/>
          </w:tcPr>
          <w:p w14:paraId="1943CED8">
            <w:pPr>
              <w:jc w:val="center"/>
              <w:rPr>
                <w:rFonts w:hint="eastAsia" w:ascii="宋体" w:hAnsi="宋体" w:eastAsia="宋体" w:cs="宋体"/>
                <w:i w:val="0"/>
                <w:iCs w:val="0"/>
                <w:color w:val="000000"/>
                <w:sz w:val="18"/>
                <w:szCs w:val="18"/>
                <w:u w:val="none" w:color="auto"/>
              </w:rPr>
            </w:pPr>
          </w:p>
        </w:tc>
      </w:tr>
      <w:tr w14:paraId="0C65F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10" w:type="dxa"/>
            <w:vMerge w:val="continue"/>
            <w:tcBorders>
              <w:top w:val="single" w:color="000000" w:sz="4" w:space="0"/>
              <w:left w:val="single" w:color="000000" w:sz="4" w:space="0"/>
              <w:bottom w:val="nil"/>
              <w:right w:val="single" w:color="000000" w:sz="4" w:space="0"/>
            </w:tcBorders>
            <w:shd w:val="clear" w:color="auto" w:fill="auto"/>
            <w:vAlign w:val="center"/>
          </w:tcPr>
          <w:p w14:paraId="1559F279">
            <w:pPr>
              <w:jc w:val="center"/>
              <w:rPr>
                <w:rFonts w:hint="eastAsia" w:ascii="宋体" w:hAnsi="宋体" w:eastAsia="宋体" w:cs="宋体"/>
                <w:i w:val="0"/>
                <w:iCs w:val="0"/>
                <w:color w:val="000000"/>
                <w:sz w:val="18"/>
                <w:szCs w:val="18"/>
                <w:u w:val="none" w:color="auto"/>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6CD2E1D">
            <w:pPr>
              <w:jc w:val="center"/>
              <w:rPr>
                <w:rFonts w:hint="eastAsia" w:ascii="宋体" w:hAnsi="宋体" w:eastAsia="宋体" w:cs="宋体"/>
                <w:i w:val="0"/>
                <w:iCs w:val="0"/>
                <w:color w:val="000000"/>
                <w:sz w:val="18"/>
                <w:szCs w:val="18"/>
                <w:u w:val="none" w:color="auto"/>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DFF3A3A">
            <w:pPr>
              <w:jc w:val="center"/>
              <w:rPr>
                <w:rFonts w:hint="eastAsia" w:ascii="宋体" w:hAnsi="宋体" w:eastAsia="宋体" w:cs="宋体"/>
                <w:i w:val="0"/>
                <w:iCs w:val="0"/>
                <w:color w:val="000000"/>
                <w:sz w:val="18"/>
                <w:szCs w:val="18"/>
                <w:u w:val="none" w:color="auto"/>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073863F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项目覆盖影响人数</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39A53D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B3A41D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FAAEDF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2</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D34524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2</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0B36EC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万人</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90CA421">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7.5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65EBB1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7.5</w:t>
            </w:r>
          </w:p>
        </w:tc>
        <w:tc>
          <w:tcPr>
            <w:tcW w:w="2061" w:type="dxa"/>
            <w:tcBorders>
              <w:top w:val="single" w:color="000000" w:sz="4" w:space="0"/>
              <w:left w:val="single" w:color="000000" w:sz="4" w:space="0"/>
              <w:bottom w:val="nil"/>
              <w:right w:val="single" w:color="000000" w:sz="4" w:space="0"/>
            </w:tcBorders>
            <w:shd w:val="clear" w:color="auto" w:fill="auto"/>
            <w:vAlign w:val="center"/>
          </w:tcPr>
          <w:p w14:paraId="0E4D486C">
            <w:pPr>
              <w:jc w:val="center"/>
              <w:rPr>
                <w:rFonts w:hint="eastAsia" w:ascii="宋体" w:hAnsi="宋体" w:eastAsia="宋体" w:cs="宋体"/>
                <w:i w:val="0"/>
                <w:iCs w:val="0"/>
                <w:color w:val="000000"/>
                <w:sz w:val="18"/>
                <w:szCs w:val="18"/>
                <w:u w:val="none" w:color="auto"/>
              </w:rPr>
            </w:pPr>
          </w:p>
        </w:tc>
      </w:tr>
      <w:tr w14:paraId="4A662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10" w:type="dxa"/>
            <w:vMerge w:val="continue"/>
            <w:tcBorders>
              <w:top w:val="single" w:color="000000" w:sz="4" w:space="0"/>
              <w:left w:val="single" w:color="000000" w:sz="4" w:space="0"/>
              <w:bottom w:val="nil"/>
              <w:right w:val="single" w:color="000000" w:sz="4" w:space="0"/>
            </w:tcBorders>
            <w:shd w:val="clear" w:color="auto" w:fill="auto"/>
            <w:vAlign w:val="center"/>
          </w:tcPr>
          <w:p w14:paraId="70D4D4CA">
            <w:pPr>
              <w:jc w:val="center"/>
              <w:rPr>
                <w:rFonts w:hint="eastAsia" w:ascii="宋体" w:hAnsi="宋体" w:eastAsia="宋体" w:cs="宋体"/>
                <w:i w:val="0"/>
                <w:iCs w:val="0"/>
                <w:color w:val="000000"/>
                <w:sz w:val="18"/>
                <w:szCs w:val="18"/>
                <w:u w:val="none" w:color="auto"/>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AF289D1">
            <w:pPr>
              <w:jc w:val="center"/>
              <w:rPr>
                <w:rFonts w:hint="eastAsia" w:ascii="宋体" w:hAnsi="宋体" w:eastAsia="宋体" w:cs="宋体"/>
                <w:i w:val="0"/>
                <w:iCs w:val="0"/>
                <w:color w:val="000000"/>
                <w:sz w:val="18"/>
                <w:szCs w:val="18"/>
                <w:u w:val="none" w:color="auto"/>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5E4FD651">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时效指标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002316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项目实施期限</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FD834D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定性</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C77E549">
            <w:pPr>
              <w:jc w:val="center"/>
              <w:rPr>
                <w:rFonts w:hint="eastAsia" w:ascii="宋体" w:hAnsi="宋体" w:eastAsia="宋体" w:cs="宋体"/>
                <w:i w:val="0"/>
                <w:iCs w:val="0"/>
                <w:color w:val="000000"/>
                <w:sz w:val="18"/>
                <w:szCs w:val="18"/>
                <w:u w:val="none" w:color="auto"/>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2D131A8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2025年12月底前</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3A92EB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2025年12月底前</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909B300">
            <w:pPr>
              <w:jc w:val="center"/>
              <w:rPr>
                <w:rFonts w:hint="eastAsia" w:ascii="宋体" w:hAnsi="宋体" w:eastAsia="宋体" w:cs="宋体"/>
                <w:i w:val="0"/>
                <w:iCs w:val="0"/>
                <w:color w:val="000000"/>
                <w:sz w:val="18"/>
                <w:szCs w:val="18"/>
                <w:u w:val="none" w:color="auto"/>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4D29C35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2FD5B9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2061" w:type="dxa"/>
            <w:tcBorders>
              <w:top w:val="single" w:color="000000" w:sz="4" w:space="0"/>
              <w:left w:val="single" w:color="000000" w:sz="4" w:space="0"/>
              <w:bottom w:val="nil"/>
              <w:right w:val="single" w:color="000000" w:sz="4" w:space="0"/>
            </w:tcBorders>
            <w:shd w:val="clear" w:color="auto" w:fill="auto"/>
            <w:vAlign w:val="center"/>
          </w:tcPr>
          <w:p w14:paraId="42C81A27">
            <w:pPr>
              <w:jc w:val="center"/>
              <w:rPr>
                <w:rFonts w:hint="eastAsia" w:ascii="宋体" w:hAnsi="宋体" w:eastAsia="宋体" w:cs="宋体"/>
                <w:i w:val="0"/>
                <w:iCs w:val="0"/>
                <w:color w:val="000000"/>
                <w:sz w:val="18"/>
                <w:szCs w:val="18"/>
                <w:u w:val="none" w:color="auto"/>
              </w:rPr>
            </w:pPr>
          </w:p>
        </w:tc>
      </w:tr>
      <w:tr w14:paraId="541E6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10" w:type="dxa"/>
            <w:vMerge w:val="continue"/>
            <w:tcBorders>
              <w:top w:val="single" w:color="000000" w:sz="4" w:space="0"/>
              <w:left w:val="single" w:color="000000" w:sz="4" w:space="0"/>
              <w:bottom w:val="nil"/>
              <w:right w:val="single" w:color="000000" w:sz="4" w:space="0"/>
            </w:tcBorders>
            <w:shd w:val="clear" w:color="auto" w:fill="auto"/>
            <w:vAlign w:val="center"/>
          </w:tcPr>
          <w:p w14:paraId="728EEEFE">
            <w:pPr>
              <w:jc w:val="center"/>
              <w:rPr>
                <w:rFonts w:hint="eastAsia" w:ascii="宋体" w:hAnsi="宋体" w:eastAsia="宋体" w:cs="宋体"/>
                <w:i w:val="0"/>
                <w:iCs w:val="0"/>
                <w:color w:val="000000"/>
                <w:sz w:val="18"/>
                <w:szCs w:val="18"/>
                <w:u w:val="none" w:color="auto"/>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19E52FAD">
            <w:pPr>
              <w:jc w:val="center"/>
              <w:rPr>
                <w:rFonts w:hint="eastAsia" w:ascii="宋体" w:hAnsi="宋体" w:eastAsia="宋体" w:cs="宋体"/>
                <w:i w:val="0"/>
                <w:iCs w:val="0"/>
                <w:color w:val="000000"/>
                <w:sz w:val="18"/>
                <w:szCs w:val="18"/>
                <w:u w:val="none" w:color="auto"/>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3FB4ACB7">
            <w:pPr>
              <w:jc w:val="center"/>
              <w:rPr>
                <w:rFonts w:hint="eastAsia" w:ascii="宋体" w:hAnsi="宋体" w:eastAsia="宋体" w:cs="宋体"/>
                <w:i w:val="0"/>
                <w:iCs w:val="0"/>
                <w:color w:val="000000"/>
                <w:sz w:val="18"/>
                <w:szCs w:val="18"/>
                <w:u w:val="none" w:color="auto"/>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06C02AB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项目绩效评价</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0C0A7E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定性</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F2234A6">
            <w:pPr>
              <w:jc w:val="center"/>
              <w:rPr>
                <w:rFonts w:hint="eastAsia" w:ascii="宋体" w:hAnsi="宋体" w:eastAsia="宋体" w:cs="宋体"/>
                <w:i w:val="0"/>
                <w:iCs w:val="0"/>
                <w:color w:val="000000"/>
                <w:sz w:val="18"/>
                <w:szCs w:val="18"/>
                <w:u w:val="none" w:color="auto"/>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5D72605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2026年3月底前</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876CB6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2026年3月底前</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D86075E">
            <w:pPr>
              <w:jc w:val="center"/>
              <w:rPr>
                <w:rFonts w:hint="eastAsia" w:ascii="宋体" w:hAnsi="宋体" w:eastAsia="宋体" w:cs="宋体"/>
                <w:i w:val="0"/>
                <w:iCs w:val="0"/>
                <w:color w:val="000000"/>
                <w:sz w:val="18"/>
                <w:szCs w:val="18"/>
                <w:u w:val="none" w:color="auto"/>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731F9766">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C2D5CB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2061" w:type="dxa"/>
            <w:tcBorders>
              <w:top w:val="single" w:color="000000" w:sz="4" w:space="0"/>
              <w:left w:val="single" w:color="000000" w:sz="4" w:space="0"/>
              <w:bottom w:val="nil"/>
              <w:right w:val="single" w:color="000000" w:sz="4" w:space="0"/>
            </w:tcBorders>
            <w:shd w:val="clear" w:color="auto" w:fill="auto"/>
            <w:vAlign w:val="center"/>
          </w:tcPr>
          <w:p w14:paraId="74B966D5">
            <w:pPr>
              <w:jc w:val="center"/>
              <w:rPr>
                <w:rFonts w:hint="eastAsia" w:ascii="宋体" w:hAnsi="宋体" w:eastAsia="宋体" w:cs="宋体"/>
                <w:i w:val="0"/>
                <w:iCs w:val="0"/>
                <w:color w:val="000000"/>
                <w:sz w:val="18"/>
                <w:szCs w:val="18"/>
                <w:u w:val="none" w:color="auto"/>
              </w:rPr>
            </w:pPr>
          </w:p>
        </w:tc>
      </w:tr>
      <w:tr w14:paraId="34B65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10" w:type="dxa"/>
            <w:vMerge w:val="continue"/>
            <w:tcBorders>
              <w:top w:val="single" w:color="000000" w:sz="4" w:space="0"/>
              <w:left w:val="single" w:color="000000" w:sz="4" w:space="0"/>
              <w:bottom w:val="nil"/>
              <w:right w:val="single" w:color="000000" w:sz="4" w:space="0"/>
            </w:tcBorders>
            <w:shd w:val="clear" w:color="auto" w:fill="auto"/>
            <w:vAlign w:val="center"/>
          </w:tcPr>
          <w:p w14:paraId="7083A0B5">
            <w:pPr>
              <w:jc w:val="center"/>
              <w:rPr>
                <w:rFonts w:hint="eastAsia" w:ascii="宋体" w:hAnsi="宋体" w:eastAsia="宋体" w:cs="宋体"/>
                <w:i w:val="0"/>
                <w:iCs w:val="0"/>
                <w:color w:val="000000"/>
                <w:sz w:val="18"/>
                <w:szCs w:val="18"/>
                <w:u w:val="none" w:color="auto"/>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B2CA100">
            <w:pPr>
              <w:jc w:val="center"/>
              <w:rPr>
                <w:rFonts w:hint="eastAsia" w:ascii="宋体" w:hAnsi="宋体" w:eastAsia="宋体" w:cs="宋体"/>
                <w:i w:val="0"/>
                <w:iCs w:val="0"/>
                <w:color w:val="000000"/>
                <w:sz w:val="18"/>
                <w:szCs w:val="18"/>
                <w:u w:val="none" w:color="auto"/>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2B10610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成本指标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DB22EA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项目总成本</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EE686E6">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反向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657E05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小于等于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DF94BA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584034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14.85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4AE4CC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万元</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AA0C6F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AACB3A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2061" w:type="dxa"/>
            <w:tcBorders>
              <w:top w:val="single" w:color="000000" w:sz="4" w:space="0"/>
              <w:left w:val="single" w:color="000000" w:sz="4" w:space="0"/>
              <w:bottom w:val="nil"/>
              <w:right w:val="single" w:color="000000" w:sz="4" w:space="0"/>
            </w:tcBorders>
            <w:shd w:val="clear" w:color="auto" w:fill="auto"/>
            <w:vAlign w:val="center"/>
          </w:tcPr>
          <w:p w14:paraId="2B676AE3">
            <w:pPr>
              <w:jc w:val="center"/>
              <w:rPr>
                <w:rFonts w:hint="eastAsia" w:ascii="宋体" w:hAnsi="宋体" w:eastAsia="宋体" w:cs="宋体"/>
                <w:i w:val="0"/>
                <w:iCs w:val="0"/>
                <w:color w:val="000000"/>
                <w:sz w:val="18"/>
                <w:szCs w:val="18"/>
                <w:u w:val="none" w:color="auto"/>
              </w:rPr>
            </w:pPr>
          </w:p>
        </w:tc>
      </w:tr>
      <w:tr w14:paraId="5E3DD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10" w:type="dxa"/>
            <w:vMerge w:val="continue"/>
            <w:tcBorders>
              <w:top w:val="single" w:color="000000" w:sz="4" w:space="0"/>
              <w:left w:val="single" w:color="000000" w:sz="4" w:space="0"/>
              <w:bottom w:val="nil"/>
              <w:right w:val="single" w:color="000000" w:sz="4" w:space="0"/>
            </w:tcBorders>
            <w:shd w:val="clear" w:color="auto" w:fill="auto"/>
            <w:vAlign w:val="center"/>
          </w:tcPr>
          <w:p w14:paraId="00884367">
            <w:pPr>
              <w:jc w:val="center"/>
              <w:rPr>
                <w:rFonts w:hint="eastAsia" w:ascii="宋体" w:hAnsi="宋体" w:eastAsia="宋体" w:cs="宋体"/>
                <w:i w:val="0"/>
                <w:iCs w:val="0"/>
                <w:color w:val="000000"/>
                <w:sz w:val="18"/>
                <w:szCs w:val="18"/>
                <w:u w:val="none" w:color="auto"/>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6E0B2F7">
            <w:pPr>
              <w:jc w:val="center"/>
              <w:rPr>
                <w:rFonts w:hint="eastAsia" w:ascii="宋体" w:hAnsi="宋体" w:eastAsia="宋体" w:cs="宋体"/>
                <w:i w:val="0"/>
                <w:iCs w:val="0"/>
                <w:color w:val="000000"/>
                <w:sz w:val="18"/>
                <w:szCs w:val="18"/>
                <w:u w:val="none" w:color="auto"/>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3AA11D6B">
            <w:pPr>
              <w:jc w:val="center"/>
              <w:rPr>
                <w:rFonts w:hint="eastAsia" w:ascii="宋体" w:hAnsi="宋体" w:eastAsia="宋体" w:cs="宋体"/>
                <w:i w:val="0"/>
                <w:iCs w:val="0"/>
                <w:color w:val="000000"/>
                <w:sz w:val="18"/>
                <w:szCs w:val="18"/>
                <w:u w:val="none" w:color="auto"/>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2EAD987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新型婚育文化阵地</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2A0840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反向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700C3FA">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小于等于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DAC5CD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2</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D9F3F5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2</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F3CC53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万元/个</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246FDA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058D1E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5</w:t>
            </w:r>
          </w:p>
        </w:tc>
        <w:tc>
          <w:tcPr>
            <w:tcW w:w="2061" w:type="dxa"/>
            <w:tcBorders>
              <w:top w:val="single" w:color="000000" w:sz="4" w:space="0"/>
              <w:left w:val="single" w:color="000000" w:sz="4" w:space="0"/>
              <w:bottom w:val="nil"/>
              <w:right w:val="single" w:color="000000" w:sz="4" w:space="0"/>
            </w:tcBorders>
            <w:shd w:val="clear" w:color="auto" w:fill="auto"/>
            <w:vAlign w:val="center"/>
          </w:tcPr>
          <w:p w14:paraId="04FB7DA2">
            <w:pPr>
              <w:jc w:val="center"/>
              <w:rPr>
                <w:rFonts w:hint="eastAsia" w:ascii="宋体" w:hAnsi="宋体" w:eastAsia="宋体" w:cs="宋体"/>
                <w:i w:val="0"/>
                <w:iCs w:val="0"/>
                <w:color w:val="000000"/>
                <w:sz w:val="18"/>
                <w:szCs w:val="18"/>
                <w:u w:val="none" w:color="auto"/>
              </w:rPr>
            </w:pPr>
          </w:p>
        </w:tc>
      </w:tr>
      <w:tr w14:paraId="1705B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10" w:type="dxa"/>
            <w:vMerge w:val="continue"/>
            <w:tcBorders>
              <w:top w:val="single" w:color="000000" w:sz="4" w:space="0"/>
              <w:left w:val="single" w:color="000000" w:sz="4" w:space="0"/>
              <w:bottom w:val="nil"/>
              <w:right w:val="single" w:color="000000" w:sz="4" w:space="0"/>
            </w:tcBorders>
            <w:shd w:val="clear" w:color="auto" w:fill="auto"/>
            <w:vAlign w:val="center"/>
          </w:tcPr>
          <w:p w14:paraId="50F941B8">
            <w:pPr>
              <w:jc w:val="center"/>
              <w:rPr>
                <w:rFonts w:hint="eastAsia" w:ascii="宋体" w:hAnsi="宋体" w:eastAsia="宋体" w:cs="宋体"/>
                <w:i w:val="0"/>
                <w:iCs w:val="0"/>
                <w:color w:val="000000"/>
                <w:sz w:val="18"/>
                <w:szCs w:val="18"/>
                <w:u w:val="none" w:color="auto"/>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56B2BF3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效益指标</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0603D4E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社会效益</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2B6C3F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引导群众正确认识国情国策树立新型婚育文化观念</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5EB42E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定性</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E304E3D">
            <w:pPr>
              <w:jc w:val="center"/>
              <w:rPr>
                <w:rFonts w:hint="eastAsia" w:ascii="宋体" w:hAnsi="宋体" w:eastAsia="宋体" w:cs="宋体"/>
                <w:i w:val="0"/>
                <w:iCs w:val="0"/>
                <w:color w:val="000000"/>
                <w:sz w:val="18"/>
                <w:szCs w:val="18"/>
                <w:u w:val="none" w:color="auto"/>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2F44A27F">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逐步形成</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3F296F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逐步形成</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7145439">
            <w:pPr>
              <w:jc w:val="center"/>
              <w:rPr>
                <w:rFonts w:hint="eastAsia" w:ascii="宋体" w:hAnsi="宋体" w:eastAsia="宋体" w:cs="宋体"/>
                <w:i w:val="0"/>
                <w:iCs w:val="0"/>
                <w:color w:val="000000"/>
                <w:sz w:val="18"/>
                <w:szCs w:val="18"/>
                <w:u w:val="none" w:color="auto"/>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2192B59C">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7.5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A21961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7.5</w:t>
            </w:r>
          </w:p>
        </w:tc>
        <w:tc>
          <w:tcPr>
            <w:tcW w:w="2061" w:type="dxa"/>
            <w:tcBorders>
              <w:top w:val="single" w:color="000000" w:sz="4" w:space="0"/>
              <w:left w:val="single" w:color="000000" w:sz="4" w:space="0"/>
              <w:bottom w:val="nil"/>
              <w:right w:val="single" w:color="000000" w:sz="4" w:space="0"/>
            </w:tcBorders>
            <w:shd w:val="clear" w:color="auto" w:fill="auto"/>
            <w:vAlign w:val="center"/>
          </w:tcPr>
          <w:p w14:paraId="35D0B965">
            <w:pPr>
              <w:jc w:val="center"/>
              <w:rPr>
                <w:rFonts w:hint="eastAsia" w:ascii="宋体" w:hAnsi="宋体" w:eastAsia="宋体" w:cs="宋体"/>
                <w:i w:val="0"/>
                <w:iCs w:val="0"/>
                <w:color w:val="000000"/>
                <w:sz w:val="18"/>
                <w:szCs w:val="18"/>
                <w:u w:val="none" w:color="auto"/>
              </w:rPr>
            </w:pPr>
          </w:p>
        </w:tc>
      </w:tr>
      <w:tr w14:paraId="6D91B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10" w:type="dxa"/>
            <w:vMerge w:val="continue"/>
            <w:tcBorders>
              <w:top w:val="single" w:color="000000" w:sz="4" w:space="0"/>
              <w:left w:val="single" w:color="000000" w:sz="4" w:space="0"/>
              <w:bottom w:val="nil"/>
              <w:right w:val="single" w:color="000000" w:sz="4" w:space="0"/>
            </w:tcBorders>
            <w:shd w:val="clear" w:color="auto" w:fill="auto"/>
            <w:vAlign w:val="center"/>
          </w:tcPr>
          <w:p w14:paraId="2ED36132">
            <w:pPr>
              <w:jc w:val="center"/>
              <w:rPr>
                <w:rFonts w:hint="eastAsia" w:ascii="宋体" w:hAnsi="宋体" w:eastAsia="宋体" w:cs="宋体"/>
                <w:i w:val="0"/>
                <w:iCs w:val="0"/>
                <w:color w:val="000000"/>
                <w:sz w:val="18"/>
                <w:szCs w:val="18"/>
                <w:u w:val="none" w:color="auto"/>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0ECDDF6">
            <w:pPr>
              <w:jc w:val="center"/>
              <w:rPr>
                <w:rFonts w:hint="eastAsia" w:ascii="宋体" w:hAnsi="宋体" w:eastAsia="宋体" w:cs="宋体"/>
                <w:i w:val="0"/>
                <w:iCs w:val="0"/>
                <w:color w:val="000000"/>
                <w:sz w:val="18"/>
                <w:szCs w:val="18"/>
                <w:u w:val="none" w:color="auto"/>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950BE43">
            <w:pPr>
              <w:jc w:val="center"/>
              <w:rPr>
                <w:rFonts w:hint="eastAsia" w:ascii="宋体" w:hAnsi="宋体" w:eastAsia="宋体" w:cs="宋体"/>
                <w:i w:val="0"/>
                <w:iCs w:val="0"/>
                <w:color w:val="000000"/>
                <w:sz w:val="18"/>
                <w:szCs w:val="18"/>
                <w:u w:val="none" w:color="auto"/>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4552AFE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提升计生协组织覆盖面和社会影响力</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699EC9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定性</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F50D25E">
            <w:pPr>
              <w:jc w:val="center"/>
              <w:rPr>
                <w:rFonts w:hint="eastAsia" w:ascii="宋体" w:hAnsi="宋体" w:eastAsia="宋体" w:cs="宋体"/>
                <w:i w:val="0"/>
                <w:iCs w:val="0"/>
                <w:color w:val="000000"/>
                <w:sz w:val="18"/>
                <w:szCs w:val="18"/>
                <w:u w:val="none" w:color="auto"/>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4535EF9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逐步提升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80281EA">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逐步提升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710BE98">
            <w:pPr>
              <w:jc w:val="center"/>
              <w:rPr>
                <w:rFonts w:hint="eastAsia" w:ascii="宋体" w:hAnsi="宋体" w:eastAsia="宋体" w:cs="宋体"/>
                <w:i w:val="0"/>
                <w:iCs w:val="0"/>
                <w:color w:val="000000"/>
                <w:sz w:val="18"/>
                <w:szCs w:val="18"/>
                <w:u w:val="none" w:color="auto"/>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41D8036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7.5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0E1A04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7.5</w:t>
            </w:r>
          </w:p>
        </w:tc>
        <w:tc>
          <w:tcPr>
            <w:tcW w:w="2061" w:type="dxa"/>
            <w:tcBorders>
              <w:top w:val="single" w:color="000000" w:sz="4" w:space="0"/>
              <w:left w:val="single" w:color="000000" w:sz="4" w:space="0"/>
              <w:bottom w:val="nil"/>
              <w:right w:val="single" w:color="000000" w:sz="4" w:space="0"/>
            </w:tcBorders>
            <w:shd w:val="clear" w:color="auto" w:fill="auto"/>
            <w:vAlign w:val="center"/>
          </w:tcPr>
          <w:p w14:paraId="5098059D">
            <w:pPr>
              <w:jc w:val="center"/>
              <w:rPr>
                <w:rFonts w:hint="eastAsia" w:ascii="宋体" w:hAnsi="宋体" w:eastAsia="宋体" w:cs="宋体"/>
                <w:i w:val="0"/>
                <w:iCs w:val="0"/>
                <w:color w:val="000000"/>
                <w:sz w:val="18"/>
                <w:szCs w:val="18"/>
                <w:u w:val="none" w:color="auto"/>
              </w:rPr>
            </w:pPr>
          </w:p>
        </w:tc>
      </w:tr>
      <w:tr w14:paraId="030EF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10" w:type="dxa"/>
            <w:vMerge w:val="continue"/>
            <w:tcBorders>
              <w:top w:val="single" w:color="000000" w:sz="4" w:space="0"/>
              <w:left w:val="single" w:color="000000" w:sz="4" w:space="0"/>
              <w:bottom w:val="nil"/>
              <w:right w:val="single" w:color="000000" w:sz="4" w:space="0"/>
            </w:tcBorders>
            <w:shd w:val="clear" w:color="auto" w:fill="auto"/>
            <w:vAlign w:val="center"/>
          </w:tcPr>
          <w:p w14:paraId="597D28F9">
            <w:pPr>
              <w:jc w:val="center"/>
              <w:rPr>
                <w:rFonts w:hint="eastAsia" w:ascii="宋体" w:hAnsi="宋体" w:eastAsia="宋体" w:cs="宋体"/>
                <w:i w:val="0"/>
                <w:iCs w:val="0"/>
                <w:color w:val="000000"/>
                <w:sz w:val="18"/>
                <w:szCs w:val="18"/>
                <w:u w:val="none" w:color="auto"/>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1CFDDB56">
            <w:pPr>
              <w:jc w:val="center"/>
              <w:rPr>
                <w:rFonts w:hint="eastAsia" w:ascii="宋体" w:hAnsi="宋体" w:eastAsia="宋体" w:cs="宋体"/>
                <w:i w:val="0"/>
                <w:iCs w:val="0"/>
                <w:color w:val="000000"/>
                <w:sz w:val="18"/>
                <w:szCs w:val="18"/>
                <w:u w:val="none" w:color="auto"/>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E08F52D">
            <w:pPr>
              <w:jc w:val="center"/>
              <w:rPr>
                <w:rFonts w:hint="eastAsia" w:ascii="宋体" w:hAnsi="宋体" w:eastAsia="宋体" w:cs="宋体"/>
                <w:i w:val="0"/>
                <w:iCs w:val="0"/>
                <w:color w:val="000000"/>
                <w:sz w:val="18"/>
                <w:szCs w:val="18"/>
                <w:u w:val="none" w:color="auto"/>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4AF3B84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探索计生协开展新型婚育文化工作模式</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36FCE8A">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定性</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2040BBB">
            <w:pPr>
              <w:jc w:val="center"/>
              <w:rPr>
                <w:rFonts w:hint="eastAsia" w:ascii="宋体" w:hAnsi="宋体" w:eastAsia="宋体" w:cs="宋体"/>
                <w:i w:val="0"/>
                <w:iCs w:val="0"/>
                <w:color w:val="000000"/>
                <w:sz w:val="18"/>
                <w:szCs w:val="18"/>
                <w:u w:val="none" w:color="auto"/>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7BEC2AC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逐步形成</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8C8599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逐步形成</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9B8C02B">
            <w:pPr>
              <w:jc w:val="center"/>
              <w:rPr>
                <w:rFonts w:hint="eastAsia" w:ascii="宋体" w:hAnsi="宋体" w:eastAsia="宋体" w:cs="宋体"/>
                <w:i w:val="0"/>
                <w:iCs w:val="0"/>
                <w:color w:val="000000"/>
                <w:sz w:val="18"/>
                <w:szCs w:val="18"/>
                <w:u w:val="none" w:color="auto"/>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7B5BA4C2">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7.5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DA6ACA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7.5</w:t>
            </w:r>
          </w:p>
        </w:tc>
        <w:tc>
          <w:tcPr>
            <w:tcW w:w="2061" w:type="dxa"/>
            <w:tcBorders>
              <w:top w:val="single" w:color="000000" w:sz="4" w:space="0"/>
              <w:left w:val="single" w:color="000000" w:sz="4" w:space="0"/>
              <w:bottom w:val="nil"/>
              <w:right w:val="single" w:color="000000" w:sz="4" w:space="0"/>
            </w:tcBorders>
            <w:shd w:val="clear" w:color="auto" w:fill="auto"/>
            <w:vAlign w:val="center"/>
          </w:tcPr>
          <w:p w14:paraId="7D0D1DFB">
            <w:pPr>
              <w:jc w:val="center"/>
              <w:rPr>
                <w:rFonts w:hint="eastAsia" w:ascii="宋体" w:hAnsi="宋体" w:eastAsia="宋体" w:cs="宋体"/>
                <w:i w:val="0"/>
                <w:iCs w:val="0"/>
                <w:color w:val="000000"/>
                <w:sz w:val="18"/>
                <w:szCs w:val="18"/>
                <w:u w:val="none" w:color="auto"/>
              </w:rPr>
            </w:pPr>
          </w:p>
        </w:tc>
      </w:tr>
      <w:tr w14:paraId="040DE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10" w:type="dxa"/>
            <w:vMerge w:val="continue"/>
            <w:tcBorders>
              <w:top w:val="single" w:color="000000" w:sz="4" w:space="0"/>
              <w:left w:val="single" w:color="000000" w:sz="4" w:space="0"/>
              <w:bottom w:val="nil"/>
              <w:right w:val="single" w:color="000000" w:sz="4" w:space="0"/>
            </w:tcBorders>
            <w:shd w:val="clear" w:color="auto" w:fill="auto"/>
            <w:vAlign w:val="center"/>
          </w:tcPr>
          <w:p w14:paraId="1CC78CE7">
            <w:pPr>
              <w:jc w:val="center"/>
              <w:rPr>
                <w:rFonts w:hint="eastAsia" w:ascii="宋体" w:hAnsi="宋体" w:eastAsia="宋体" w:cs="宋体"/>
                <w:i w:val="0"/>
                <w:iCs w:val="0"/>
                <w:color w:val="000000"/>
                <w:sz w:val="18"/>
                <w:szCs w:val="18"/>
                <w:u w:val="none" w:color="auto"/>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56D6007">
            <w:pPr>
              <w:jc w:val="center"/>
              <w:rPr>
                <w:rFonts w:hint="eastAsia" w:ascii="宋体" w:hAnsi="宋体" w:eastAsia="宋体" w:cs="宋体"/>
                <w:i w:val="0"/>
                <w:iCs w:val="0"/>
                <w:color w:val="000000"/>
                <w:sz w:val="18"/>
                <w:szCs w:val="18"/>
                <w:u w:val="none" w:color="auto"/>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458DE17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可持续影响</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208F71D">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持续提升新型婚育文化的覆盖面和影响力</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463E51A">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定性</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6A1EE66">
            <w:pPr>
              <w:jc w:val="center"/>
              <w:rPr>
                <w:rFonts w:hint="eastAsia" w:ascii="宋体" w:hAnsi="宋体" w:eastAsia="宋体" w:cs="宋体"/>
                <w:i w:val="0"/>
                <w:iCs w:val="0"/>
                <w:color w:val="000000"/>
                <w:sz w:val="18"/>
                <w:szCs w:val="18"/>
                <w:u w:val="none" w:color="auto"/>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76F1CC1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逐步提升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66D9D0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逐步提升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F738A9D">
            <w:pPr>
              <w:jc w:val="center"/>
              <w:rPr>
                <w:rFonts w:hint="eastAsia" w:ascii="宋体" w:hAnsi="宋体" w:eastAsia="宋体" w:cs="宋体"/>
                <w:i w:val="0"/>
                <w:iCs w:val="0"/>
                <w:color w:val="000000"/>
                <w:sz w:val="18"/>
                <w:szCs w:val="18"/>
                <w:u w:val="none" w:color="auto"/>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10D389F8">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7.5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D015CC4">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7.5</w:t>
            </w:r>
          </w:p>
        </w:tc>
        <w:tc>
          <w:tcPr>
            <w:tcW w:w="2061" w:type="dxa"/>
            <w:tcBorders>
              <w:top w:val="single" w:color="000000" w:sz="4" w:space="0"/>
              <w:left w:val="single" w:color="000000" w:sz="4" w:space="0"/>
              <w:bottom w:val="nil"/>
              <w:right w:val="single" w:color="000000" w:sz="4" w:space="0"/>
            </w:tcBorders>
            <w:shd w:val="clear" w:color="auto" w:fill="auto"/>
            <w:vAlign w:val="center"/>
          </w:tcPr>
          <w:p w14:paraId="63F27C91">
            <w:pPr>
              <w:jc w:val="center"/>
              <w:rPr>
                <w:rFonts w:hint="eastAsia" w:ascii="宋体" w:hAnsi="宋体" w:eastAsia="宋体" w:cs="宋体"/>
                <w:i w:val="0"/>
                <w:iCs w:val="0"/>
                <w:color w:val="000000"/>
                <w:sz w:val="18"/>
                <w:szCs w:val="18"/>
                <w:u w:val="none" w:color="auto"/>
              </w:rPr>
            </w:pPr>
          </w:p>
        </w:tc>
      </w:tr>
      <w:tr w14:paraId="19387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910" w:type="dxa"/>
            <w:vMerge w:val="continue"/>
            <w:tcBorders>
              <w:top w:val="single" w:color="000000" w:sz="4" w:space="0"/>
              <w:left w:val="single" w:color="000000" w:sz="4" w:space="0"/>
              <w:bottom w:val="nil"/>
              <w:right w:val="single" w:color="000000" w:sz="4" w:space="0"/>
            </w:tcBorders>
            <w:shd w:val="clear" w:color="auto" w:fill="auto"/>
            <w:vAlign w:val="center"/>
          </w:tcPr>
          <w:p w14:paraId="525DE14C">
            <w:pPr>
              <w:jc w:val="center"/>
              <w:rPr>
                <w:rFonts w:hint="eastAsia" w:ascii="宋体" w:hAnsi="宋体" w:eastAsia="宋体" w:cs="宋体"/>
                <w:i w:val="0"/>
                <w:iCs w:val="0"/>
                <w:color w:val="000000"/>
                <w:sz w:val="18"/>
                <w:szCs w:val="18"/>
                <w:u w:val="none" w:color="auto"/>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372EEED9">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满意度指标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9D1048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服务对象满意度</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E22FCC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育龄群众满意率</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17C1CBA">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正向</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B43CA60">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大于等于</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D7E41E6">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60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EC5A65A">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65</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ACFE285">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393641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CC4D297">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w:t>
            </w:r>
          </w:p>
        </w:tc>
        <w:tc>
          <w:tcPr>
            <w:tcW w:w="2061" w:type="dxa"/>
            <w:tcBorders>
              <w:top w:val="single" w:color="000000" w:sz="4" w:space="0"/>
              <w:left w:val="single" w:color="000000" w:sz="4" w:space="0"/>
              <w:bottom w:val="nil"/>
              <w:right w:val="single" w:color="000000" w:sz="4" w:space="0"/>
            </w:tcBorders>
            <w:shd w:val="clear" w:color="auto" w:fill="auto"/>
            <w:vAlign w:val="center"/>
          </w:tcPr>
          <w:p w14:paraId="633D3BEF">
            <w:pPr>
              <w:jc w:val="center"/>
              <w:rPr>
                <w:rFonts w:hint="eastAsia" w:ascii="宋体" w:hAnsi="宋体" w:eastAsia="宋体" w:cs="宋体"/>
                <w:i w:val="0"/>
                <w:iCs w:val="0"/>
                <w:color w:val="000000"/>
                <w:sz w:val="18"/>
                <w:szCs w:val="18"/>
                <w:u w:val="none" w:color="auto"/>
              </w:rPr>
            </w:pPr>
          </w:p>
        </w:tc>
      </w:tr>
      <w:tr w14:paraId="45304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756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5AA7D9E">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总分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F86523">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E050DB">
            <w:pPr>
              <w:keepNext w:val="0"/>
              <w:keepLines w:val="0"/>
              <w:widowControl/>
              <w:suppressLineNumbers w:val="0"/>
              <w:jc w:val="center"/>
              <w:textAlignment w:val="center"/>
              <w:rPr>
                <w:rFonts w:hint="eastAsia" w:ascii="宋体" w:hAnsi="宋体" w:eastAsia="宋体" w:cs="宋体"/>
                <w:i w:val="0"/>
                <w:iCs w:val="0"/>
                <w:color w:val="000000"/>
                <w:sz w:val="18"/>
                <w:szCs w:val="18"/>
                <w:u w:val="none" w:color="auto"/>
              </w:rPr>
            </w:pPr>
            <w:r>
              <w:rPr>
                <w:rFonts w:hint="eastAsia" w:ascii="宋体" w:hAnsi="宋体" w:eastAsia="宋体" w:cs="宋体"/>
                <w:i w:val="0"/>
                <w:iCs w:val="0"/>
                <w:color w:val="000000"/>
                <w:kern w:val="0"/>
                <w:sz w:val="18"/>
                <w:szCs w:val="18"/>
                <w:u w:val="none" w:color="auto"/>
                <w:lang w:val="en-US" w:eastAsia="zh-CN" w:bidi="ar"/>
              </w:rPr>
              <w:t>99.90</w:t>
            </w:r>
          </w:p>
        </w:tc>
        <w:tc>
          <w:tcPr>
            <w:tcW w:w="2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3552A">
            <w:pPr>
              <w:jc w:val="center"/>
              <w:rPr>
                <w:rFonts w:hint="eastAsia" w:ascii="宋体" w:hAnsi="宋体" w:eastAsia="宋体" w:cs="宋体"/>
                <w:i w:val="0"/>
                <w:iCs w:val="0"/>
                <w:color w:val="000000"/>
                <w:sz w:val="18"/>
                <w:szCs w:val="18"/>
                <w:u w:val="none" w:color="auto"/>
              </w:rPr>
            </w:pPr>
          </w:p>
        </w:tc>
      </w:tr>
    </w:tbl>
    <w:p w14:paraId="10D074EC">
      <w:pPr>
        <w:spacing w:line="560" w:lineRule="exact"/>
        <w:jc w:val="both"/>
        <w:rPr>
          <w:rFonts w:hint="eastAsia" w:ascii="仿宋" w:hAnsi="仿宋" w:eastAsia="仿宋" w:cs="仿宋"/>
          <w:color w:val="auto"/>
          <w:kern w:val="2"/>
          <w:sz w:val="32"/>
          <w:szCs w:val="32"/>
          <w:u w:val="none" w:color="auto"/>
        </w:rPr>
      </w:pPr>
    </w:p>
    <w:p w14:paraId="2D5613D2">
      <w:pPr>
        <w:pStyle w:val="29"/>
        <w:keepNext w:val="0"/>
        <w:keepLines w:val="0"/>
        <w:pageBreakBefore w:val="0"/>
        <w:widowControl/>
        <w:kinsoku/>
        <w:wordWrap/>
        <w:overflowPunct/>
        <w:topLinePunct w:val="0"/>
        <w:autoSpaceDE/>
        <w:autoSpaceDN/>
        <w:bidi w:val="0"/>
        <w:adjustRightInd/>
        <w:snapToGrid/>
        <w:spacing w:line="560" w:lineRule="exact"/>
        <w:ind w:firstLine="643"/>
        <w:jc w:val="left"/>
        <w:rPr>
          <w:rFonts w:hint="eastAsia" w:ascii="方正楷体_GB2312" w:hAnsi="方正楷体_GB2312" w:eastAsia="方正楷体_GB2312" w:cs="方正楷体_GB2312"/>
          <w:b w:val="0"/>
          <w:bCs w:val="0"/>
          <w:color w:val="auto"/>
          <w:kern w:val="0"/>
          <w:sz w:val="32"/>
          <w:szCs w:val="32"/>
          <w:u w:val="none" w:color="auto"/>
          <w:lang w:val="en-US" w:eastAsia="zh-CN" w:bidi="ar-SA"/>
        </w:rPr>
      </w:pPr>
      <w:r>
        <w:rPr>
          <w:rFonts w:hint="eastAsia" w:ascii="方正楷体_GB2312" w:hAnsi="方正楷体_GB2312" w:eastAsia="方正楷体_GB2312" w:cs="方正楷体_GB2312"/>
          <w:b w:val="0"/>
          <w:bCs w:val="0"/>
          <w:color w:val="auto"/>
          <w:kern w:val="0"/>
          <w:sz w:val="32"/>
          <w:szCs w:val="32"/>
          <w:u w:val="none" w:color="auto"/>
          <w:lang w:val="en-US" w:eastAsia="zh-CN" w:bidi="ar-SA"/>
        </w:rPr>
        <w:t>（三）部门项目绩效评价结果。</w:t>
      </w:r>
    </w:p>
    <w:p w14:paraId="05F93B93">
      <w:pPr>
        <w:keepNext w:val="0"/>
        <w:keepLines w:val="0"/>
        <w:pageBreakBefore w:val="0"/>
        <w:kinsoku/>
        <w:wordWrap/>
        <w:overflowPunct/>
        <w:topLinePunct w:val="0"/>
        <w:autoSpaceDE/>
        <w:autoSpaceDN/>
        <w:bidi w:val="0"/>
        <w:adjustRightInd/>
        <w:snapToGrid/>
        <w:spacing w:line="560" w:lineRule="exact"/>
        <w:ind w:firstLine="640"/>
        <w:jc w:val="both"/>
        <w:rPr>
          <w:rFonts w:hint="eastAsia" w:ascii="方正仿宋_GB2312" w:hAnsi="方正仿宋_GB2312" w:eastAsia="方正仿宋_GB2312" w:cs="方正仿宋_GB2312"/>
          <w:kern w:val="0"/>
          <w:sz w:val="32"/>
          <w:szCs w:val="32"/>
          <w:u w:val="none" w:color="auto"/>
          <w:lang w:val="en-US" w:eastAsia="zh-CN" w:bidi="ar-SA"/>
        </w:rPr>
      </w:pPr>
      <w:r>
        <w:rPr>
          <w:rFonts w:hint="eastAsia" w:ascii="方正仿宋_GB2312" w:hAnsi="方正仿宋_GB2312" w:eastAsia="方正仿宋_GB2312" w:cs="方正仿宋_GB2312"/>
          <w:kern w:val="0"/>
          <w:sz w:val="32"/>
          <w:szCs w:val="32"/>
          <w:u w:val="none" w:color="auto"/>
          <w:lang w:val="en-US" w:eastAsia="zh-CN" w:bidi="ar-SA"/>
        </w:rPr>
        <w:t>以市委保健经费项目为例，该项目绩效评价综合得分为100分，绩效评价结果为“优”。部门项目绩效评价得分情况详见单位具体绩效评价结果。</w:t>
      </w:r>
    </w:p>
    <w:p w14:paraId="0A6ACD54">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baseline"/>
        <w:rPr>
          <w:rFonts w:hint="eastAsia" w:ascii="宋体" w:hAnsi="宋体" w:eastAsia="宋体" w:cs="宋体"/>
          <w:i w:val="0"/>
          <w:iCs w:val="0"/>
          <w:caps w:val="0"/>
          <w:color w:val="000000"/>
          <w:spacing w:val="0"/>
          <w:sz w:val="24"/>
          <w:szCs w:val="24"/>
          <w:u w:val="none" w:color="auto"/>
        </w:rPr>
      </w:pPr>
      <w:r>
        <w:rPr>
          <w:rFonts w:ascii="方正小标宋简体" w:hAnsi="方正小标宋简体" w:eastAsia="方正小标宋简体" w:cs="方正小标宋简体"/>
          <w:i w:val="0"/>
          <w:iCs w:val="0"/>
          <w:caps w:val="0"/>
          <w:color w:val="000000"/>
          <w:spacing w:val="0"/>
          <w:sz w:val="44"/>
          <w:szCs w:val="44"/>
          <w:u w:val="none" w:color="auto"/>
          <w:shd w:val="clear" w:fill="FFFFFF"/>
          <w:vertAlign w:val="baseline"/>
        </w:rPr>
        <w:t>2025</w:t>
      </w:r>
      <w:r>
        <w:rPr>
          <w:rFonts w:hint="eastAsia" w:ascii="方正小标宋简体" w:hAnsi="方正小标宋简体" w:eastAsia="方正小标宋简体" w:cs="方正小标宋简体"/>
          <w:i w:val="0"/>
          <w:iCs w:val="0"/>
          <w:caps w:val="0"/>
          <w:color w:val="000000"/>
          <w:spacing w:val="0"/>
          <w:sz w:val="44"/>
          <w:szCs w:val="44"/>
          <w:u w:val="none" w:color="auto"/>
          <w:shd w:val="clear" w:fill="FFFFFF"/>
          <w:vertAlign w:val="baseline"/>
        </w:rPr>
        <w:t>年</w:t>
      </w:r>
      <w:r>
        <w:rPr>
          <w:rFonts w:hint="eastAsia" w:ascii="方正小标宋简体" w:hAnsi="方正小标宋简体" w:eastAsia="方正小标宋简体" w:cs="方正小标宋简体"/>
          <w:i w:val="0"/>
          <w:iCs w:val="0"/>
          <w:caps w:val="0"/>
          <w:color w:val="000000"/>
          <w:spacing w:val="0"/>
          <w:sz w:val="44"/>
          <w:szCs w:val="44"/>
          <w:u w:val="none" w:color="auto"/>
          <w:shd w:val="clear" w:fill="FFFFFF"/>
          <w:vertAlign w:val="baseline"/>
          <w:lang w:val="en-US"/>
        </w:rPr>
        <w:t>度</w:t>
      </w:r>
      <w:r>
        <w:rPr>
          <w:rFonts w:hint="eastAsia" w:ascii="方正小标宋简体" w:hAnsi="方正小标宋简体" w:eastAsia="方正小标宋简体" w:cs="方正小标宋简体"/>
          <w:i w:val="0"/>
          <w:iCs w:val="0"/>
          <w:caps w:val="0"/>
          <w:color w:val="000000"/>
          <w:spacing w:val="0"/>
          <w:sz w:val="44"/>
          <w:szCs w:val="44"/>
          <w:u w:val="none" w:color="auto"/>
          <w:shd w:val="clear" w:fill="FFFFFF"/>
          <w:vertAlign w:val="baseline"/>
        </w:rPr>
        <w:t>市保健委经费项目绩效自评报告</w:t>
      </w:r>
    </w:p>
    <w:p w14:paraId="14DB719C">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80"/>
        <w:jc w:val="both"/>
        <w:rPr>
          <w:rFonts w:hint="eastAsia" w:ascii="宋体" w:hAnsi="宋体" w:eastAsia="宋体" w:cs="宋体"/>
          <w:i w:val="0"/>
          <w:iCs w:val="0"/>
          <w:caps w:val="0"/>
          <w:color w:val="000000"/>
          <w:spacing w:val="0"/>
          <w:sz w:val="24"/>
          <w:szCs w:val="24"/>
          <w:u w:val="none" w:color="auto"/>
        </w:rPr>
      </w:pPr>
      <w:r>
        <w:rPr>
          <w:rFonts w:ascii="黑体" w:hAnsi="宋体" w:eastAsia="黑体" w:cs="黑体"/>
          <w:b/>
          <w:bCs/>
          <w:i w:val="0"/>
          <w:iCs w:val="0"/>
          <w:caps w:val="0"/>
          <w:color w:val="000000"/>
          <w:spacing w:val="0"/>
          <w:sz w:val="32"/>
          <w:szCs w:val="32"/>
          <w:u w:val="none" w:color="auto"/>
          <w:shd w:val="clear" w:fill="FFFFFF"/>
          <w:lang w:val="en-US"/>
        </w:rPr>
        <w:t>一、</w:t>
      </w:r>
      <w:r>
        <w:rPr>
          <w:rFonts w:hint="default" w:ascii="黑体" w:hAnsi="宋体" w:eastAsia="黑体" w:cs="黑体"/>
          <w:b/>
          <w:bCs/>
          <w:i w:val="0"/>
          <w:iCs w:val="0"/>
          <w:caps w:val="0"/>
          <w:color w:val="000000"/>
          <w:spacing w:val="0"/>
          <w:sz w:val="32"/>
          <w:szCs w:val="32"/>
          <w:u w:val="none" w:color="auto"/>
          <w:shd w:val="clear" w:fill="FFFFFF"/>
        </w:rPr>
        <w:t>项目</w:t>
      </w:r>
      <w:r>
        <w:rPr>
          <w:rFonts w:hint="default" w:ascii="黑体" w:hAnsi="宋体" w:eastAsia="黑体" w:cs="黑体"/>
          <w:b/>
          <w:bCs/>
          <w:i w:val="0"/>
          <w:iCs w:val="0"/>
          <w:caps w:val="0"/>
          <w:color w:val="000000"/>
          <w:spacing w:val="0"/>
          <w:sz w:val="32"/>
          <w:szCs w:val="32"/>
          <w:u w:val="none" w:color="auto"/>
          <w:shd w:val="clear" w:fill="FFFFFF"/>
          <w:lang w:val="en-US"/>
        </w:rPr>
        <w:t>基本</w:t>
      </w:r>
      <w:r>
        <w:rPr>
          <w:rFonts w:hint="default" w:ascii="黑体" w:hAnsi="宋体" w:eastAsia="黑体" w:cs="黑体"/>
          <w:b/>
          <w:bCs/>
          <w:i w:val="0"/>
          <w:iCs w:val="0"/>
          <w:caps w:val="0"/>
          <w:color w:val="000000"/>
          <w:spacing w:val="0"/>
          <w:sz w:val="32"/>
          <w:szCs w:val="32"/>
          <w:u w:val="none" w:color="auto"/>
          <w:shd w:val="clear" w:fill="FFFFFF"/>
        </w:rPr>
        <w:t>情况</w:t>
      </w:r>
    </w:p>
    <w:p w14:paraId="5C318A7E">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baseline"/>
        <w:rPr>
          <w:rFonts w:hint="eastAsia" w:ascii="方正楷体_GB2312" w:hAnsi="方正楷体_GB2312" w:eastAsia="方正楷体_GB2312" w:cs="方正楷体_GB2312"/>
          <w:b w:val="0"/>
          <w:bCs w:val="0"/>
          <w:color w:val="auto"/>
          <w:kern w:val="0"/>
          <w:sz w:val="32"/>
          <w:szCs w:val="32"/>
          <w:u w:val="none" w:color="auto"/>
          <w:lang w:val="en-US" w:eastAsia="zh-CN" w:bidi="ar-SA"/>
        </w:rPr>
      </w:pPr>
      <w:r>
        <w:rPr>
          <w:rFonts w:hint="eastAsia" w:ascii="方正楷体_GB2312" w:hAnsi="方正楷体_GB2312" w:eastAsia="方正楷体_GB2312" w:cs="方正楷体_GB2312"/>
          <w:b w:val="0"/>
          <w:bCs w:val="0"/>
          <w:color w:val="auto"/>
          <w:kern w:val="0"/>
          <w:sz w:val="32"/>
          <w:szCs w:val="32"/>
          <w:u w:val="none" w:color="auto"/>
          <w:lang w:val="en-US" w:eastAsia="zh-CN" w:bidi="ar-SA"/>
        </w:rPr>
        <w:t>（一）项目基本情况简介。</w:t>
      </w:r>
    </w:p>
    <w:p w14:paraId="6EF5E3F2">
      <w:pPr>
        <w:keepNext w:val="0"/>
        <w:keepLines w:val="0"/>
        <w:pageBreakBefore w:val="0"/>
        <w:kinsoku/>
        <w:wordWrap/>
        <w:overflowPunct/>
        <w:topLinePunct w:val="0"/>
        <w:autoSpaceDE/>
        <w:autoSpaceDN/>
        <w:bidi w:val="0"/>
        <w:adjustRightInd/>
        <w:snapToGrid/>
        <w:spacing w:line="560" w:lineRule="exact"/>
        <w:ind w:firstLine="640"/>
        <w:jc w:val="both"/>
        <w:rPr>
          <w:rFonts w:hint="eastAsia" w:ascii="方正仿宋_GB2312" w:hAnsi="方正仿宋_GB2312" w:eastAsia="方正仿宋_GB2312" w:cs="方正仿宋_GB2312"/>
          <w:kern w:val="0"/>
          <w:sz w:val="32"/>
          <w:szCs w:val="32"/>
          <w:u w:val="none" w:color="auto"/>
          <w:lang w:val="en-US" w:eastAsia="zh-CN" w:bidi="ar-SA"/>
        </w:rPr>
      </w:pPr>
      <w:r>
        <w:rPr>
          <w:rFonts w:hint="eastAsia" w:ascii="方正仿宋_GB2312" w:hAnsi="方正仿宋_GB2312" w:eastAsia="方正仿宋_GB2312" w:cs="方正仿宋_GB2312"/>
          <w:kern w:val="0"/>
          <w:sz w:val="32"/>
          <w:szCs w:val="32"/>
          <w:u w:val="none" w:color="auto"/>
          <w:lang w:val="en-US" w:eastAsia="zh-CN" w:bidi="ar-SA"/>
        </w:rPr>
        <w:t>巴彦淖尔市干部保健日常工作经费。</w:t>
      </w:r>
    </w:p>
    <w:p w14:paraId="3E9DE5C8">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baseline"/>
        <w:rPr>
          <w:rFonts w:hint="eastAsia" w:ascii="方正楷体_GB2312" w:hAnsi="方正楷体_GB2312" w:eastAsia="方正楷体_GB2312" w:cs="方正楷体_GB2312"/>
          <w:b w:val="0"/>
          <w:bCs w:val="0"/>
          <w:color w:val="auto"/>
          <w:kern w:val="0"/>
          <w:sz w:val="32"/>
          <w:szCs w:val="32"/>
          <w:u w:val="none" w:color="auto"/>
          <w:lang w:val="en-US" w:eastAsia="zh-CN" w:bidi="ar-SA"/>
        </w:rPr>
      </w:pPr>
      <w:r>
        <w:rPr>
          <w:rFonts w:hint="default" w:ascii="方正楷体_GB2312" w:hAnsi="方正楷体_GB2312" w:eastAsia="方正楷体_GB2312" w:cs="方正楷体_GB2312"/>
          <w:b w:val="0"/>
          <w:bCs w:val="0"/>
          <w:color w:val="auto"/>
          <w:kern w:val="0"/>
          <w:sz w:val="32"/>
          <w:szCs w:val="32"/>
          <w:u w:val="none" w:color="auto"/>
          <w:lang w:val="en-US" w:eastAsia="zh-CN" w:bidi="ar-SA"/>
        </w:rPr>
        <w:t>（二）绩效目标设定及指标完成情况。</w:t>
      </w:r>
    </w:p>
    <w:p w14:paraId="70A03BE6">
      <w:pPr>
        <w:keepNext w:val="0"/>
        <w:keepLines w:val="0"/>
        <w:pageBreakBefore w:val="0"/>
        <w:kinsoku/>
        <w:wordWrap/>
        <w:overflowPunct/>
        <w:topLinePunct w:val="0"/>
        <w:autoSpaceDE/>
        <w:autoSpaceDN/>
        <w:bidi w:val="0"/>
        <w:adjustRightInd/>
        <w:snapToGrid/>
        <w:spacing w:line="560" w:lineRule="exact"/>
        <w:ind w:firstLine="640"/>
        <w:jc w:val="both"/>
        <w:rPr>
          <w:rFonts w:hint="eastAsia" w:ascii="方正仿宋_GB2312" w:hAnsi="方正仿宋_GB2312" w:eastAsia="方正仿宋_GB2312" w:cs="方正仿宋_GB2312"/>
          <w:kern w:val="0"/>
          <w:sz w:val="32"/>
          <w:szCs w:val="32"/>
          <w:u w:val="none" w:color="auto"/>
          <w:lang w:val="en-US" w:eastAsia="zh-CN" w:bidi="ar-SA"/>
        </w:rPr>
      </w:pPr>
      <w:r>
        <w:rPr>
          <w:rFonts w:hint="default" w:ascii="方正仿宋_GB2312" w:hAnsi="方正仿宋_GB2312" w:eastAsia="方正仿宋_GB2312" w:cs="方正仿宋_GB2312"/>
          <w:kern w:val="0"/>
          <w:sz w:val="32"/>
          <w:szCs w:val="32"/>
          <w:u w:val="none" w:color="auto"/>
          <w:lang w:val="en-US" w:eastAsia="zh-CN" w:bidi="ar-SA"/>
        </w:rPr>
        <w:t>年度绩效目标： 目标1：按照市委组织部审定名单，安排市直单位、驻市条管单位干部保健体检； 目标2：厅级保健干部体检筛查的重点健康危险因素市外复查； 目标3：厅级保健干部保健药品和疫苗； 目标4：完成重大活动、重要会议医疗保健工作。</w:t>
      </w:r>
    </w:p>
    <w:p w14:paraId="486FB7F7">
      <w:pPr>
        <w:keepNext w:val="0"/>
        <w:keepLines w:val="0"/>
        <w:pageBreakBefore w:val="0"/>
        <w:kinsoku/>
        <w:wordWrap/>
        <w:overflowPunct/>
        <w:topLinePunct w:val="0"/>
        <w:autoSpaceDE/>
        <w:autoSpaceDN/>
        <w:bidi w:val="0"/>
        <w:adjustRightInd/>
        <w:snapToGrid/>
        <w:spacing w:line="560" w:lineRule="exact"/>
        <w:ind w:firstLine="640"/>
        <w:jc w:val="both"/>
        <w:rPr>
          <w:rFonts w:hint="eastAsia" w:ascii="方正仿宋_GB2312" w:hAnsi="方正仿宋_GB2312" w:eastAsia="方正仿宋_GB2312" w:cs="方正仿宋_GB2312"/>
          <w:kern w:val="0"/>
          <w:sz w:val="32"/>
          <w:szCs w:val="32"/>
          <w:u w:val="none" w:color="auto"/>
          <w:lang w:val="en-US" w:eastAsia="zh-CN" w:bidi="ar-SA"/>
        </w:rPr>
      </w:pPr>
      <w:r>
        <w:rPr>
          <w:rFonts w:hint="default" w:ascii="方正仿宋_GB2312" w:hAnsi="方正仿宋_GB2312" w:eastAsia="方正仿宋_GB2312" w:cs="方正仿宋_GB2312"/>
          <w:kern w:val="0"/>
          <w:sz w:val="32"/>
          <w:szCs w:val="32"/>
          <w:u w:val="none" w:color="auto"/>
          <w:lang w:val="en-US" w:eastAsia="zh-CN" w:bidi="ar-SA"/>
        </w:rPr>
        <w:t>年度绩效目标完成情况： 目标1：按照市委组织部审定名单，安排市直单位、驻市条管单位干部保健体检； 目标2：厅级保健干部体检筛查的重点健康危险因素市外复查； 目标3：厅级保健干部保健药品和疫苗； 目标4：完成重大活动、重要会议医疗保健工作。</w:t>
      </w:r>
    </w:p>
    <w:p w14:paraId="7E5C2A69">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80"/>
        <w:jc w:val="both"/>
        <w:rPr>
          <w:rFonts w:hint="eastAsia" w:ascii="宋体" w:hAnsi="宋体" w:eastAsia="宋体" w:cs="宋体"/>
          <w:i w:val="0"/>
          <w:iCs w:val="0"/>
          <w:caps w:val="0"/>
          <w:color w:val="000000"/>
          <w:spacing w:val="0"/>
          <w:sz w:val="24"/>
          <w:szCs w:val="24"/>
          <w:u w:val="none" w:color="auto"/>
        </w:rPr>
      </w:pPr>
      <w:r>
        <w:rPr>
          <w:rFonts w:hint="default" w:ascii="黑体" w:hAnsi="宋体" w:eastAsia="黑体" w:cs="黑体"/>
          <w:b/>
          <w:bCs/>
          <w:i w:val="0"/>
          <w:iCs w:val="0"/>
          <w:caps w:val="0"/>
          <w:color w:val="000000"/>
          <w:spacing w:val="0"/>
          <w:sz w:val="32"/>
          <w:szCs w:val="32"/>
          <w:u w:val="none" w:color="auto"/>
          <w:shd w:val="clear" w:fill="FFFFFF"/>
          <w:lang w:val="en-US"/>
        </w:rPr>
        <w:t>二、绩效自评工作情况</w:t>
      </w:r>
    </w:p>
    <w:p w14:paraId="75AA1317">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baseline"/>
        <w:rPr>
          <w:rFonts w:hint="eastAsia" w:ascii="方正楷体_GB2312" w:hAnsi="方正楷体_GB2312" w:eastAsia="方正楷体_GB2312" w:cs="方正楷体_GB2312"/>
          <w:b w:val="0"/>
          <w:bCs w:val="0"/>
          <w:color w:val="auto"/>
          <w:kern w:val="0"/>
          <w:sz w:val="32"/>
          <w:szCs w:val="32"/>
          <w:u w:val="none" w:color="auto"/>
          <w:lang w:val="en-US" w:eastAsia="zh-CN" w:bidi="ar-SA"/>
        </w:rPr>
      </w:pPr>
      <w:r>
        <w:rPr>
          <w:rFonts w:hint="default" w:ascii="方正楷体_GB2312" w:hAnsi="方正楷体_GB2312" w:eastAsia="方正楷体_GB2312" w:cs="方正楷体_GB2312"/>
          <w:b w:val="0"/>
          <w:bCs w:val="0"/>
          <w:color w:val="auto"/>
          <w:kern w:val="0"/>
          <w:sz w:val="32"/>
          <w:szCs w:val="32"/>
          <w:u w:val="none" w:color="auto"/>
          <w:lang w:val="en-US" w:eastAsia="zh-CN" w:bidi="ar-SA"/>
        </w:rPr>
        <w:t>（一）绩效自评目的。</w:t>
      </w:r>
    </w:p>
    <w:p w14:paraId="76F105DE">
      <w:pPr>
        <w:keepNext w:val="0"/>
        <w:keepLines w:val="0"/>
        <w:pageBreakBefore w:val="0"/>
        <w:kinsoku/>
        <w:wordWrap/>
        <w:overflowPunct/>
        <w:topLinePunct w:val="0"/>
        <w:autoSpaceDE/>
        <w:autoSpaceDN/>
        <w:bidi w:val="0"/>
        <w:adjustRightInd/>
        <w:snapToGrid/>
        <w:spacing w:line="560" w:lineRule="exact"/>
        <w:ind w:firstLine="640"/>
        <w:jc w:val="both"/>
        <w:rPr>
          <w:rFonts w:hint="eastAsia" w:ascii="方正仿宋_GB2312" w:hAnsi="方正仿宋_GB2312" w:eastAsia="方正仿宋_GB2312" w:cs="方正仿宋_GB2312"/>
          <w:kern w:val="0"/>
          <w:sz w:val="32"/>
          <w:szCs w:val="32"/>
          <w:u w:val="none" w:color="auto"/>
          <w:lang w:val="en-US" w:eastAsia="zh-CN" w:bidi="ar-SA"/>
        </w:rPr>
      </w:pPr>
      <w:r>
        <w:rPr>
          <w:rFonts w:hint="default" w:ascii="方正仿宋_GB2312" w:hAnsi="方正仿宋_GB2312" w:eastAsia="方正仿宋_GB2312" w:cs="方正仿宋_GB2312"/>
          <w:kern w:val="0"/>
          <w:sz w:val="32"/>
          <w:szCs w:val="32"/>
          <w:u w:val="none" w:color="auto"/>
          <w:lang w:val="en-US" w:eastAsia="zh-CN" w:bidi="ar-SA"/>
        </w:rPr>
        <w:t>1.我单位按照绩效考核办法，结合实际，制定本单位绩效管理目标，确定绩效考核内容及标准。 2.规范绩效考核的程序及标准，做到科学、合理、公正。 3.建立绩效管理制度，做到绩效考核的全面性，提高绩效考核的可操作性，为绩效管理制定有效的考核制度。 4.规范和加强财政项目支出管理，建立科学、规范的财政支出绩效评价管理体系，提高财政资金使用效益。</w:t>
      </w:r>
    </w:p>
    <w:p w14:paraId="5857CC9A">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baseline"/>
        <w:rPr>
          <w:rFonts w:hint="eastAsia" w:ascii="方正楷体_GB2312" w:hAnsi="方正楷体_GB2312" w:eastAsia="方正楷体_GB2312" w:cs="方正楷体_GB2312"/>
          <w:b w:val="0"/>
          <w:bCs w:val="0"/>
          <w:color w:val="auto"/>
          <w:kern w:val="0"/>
          <w:sz w:val="32"/>
          <w:szCs w:val="32"/>
          <w:u w:val="none" w:color="auto"/>
          <w:lang w:val="en-US" w:eastAsia="zh-CN" w:bidi="ar-SA"/>
        </w:rPr>
      </w:pPr>
      <w:r>
        <w:rPr>
          <w:rFonts w:hint="default" w:ascii="方正楷体_GB2312" w:hAnsi="方正楷体_GB2312" w:eastAsia="方正楷体_GB2312" w:cs="方正楷体_GB2312"/>
          <w:b w:val="0"/>
          <w:bCs w:val="0"/>
          <w:color w:val="auto"/>
          <w:kern w:val="0"/>
          <w:sz w:val="32"/>
          <w:szCs w:val="32"/>
          <w:u w:val="none" w:color="auto"/>
          <w:lang w:val="en-US" w:eastAsia="zh-CN" w:bidi="ar-SA"/>
        </w:rPr>
        <w:t>（二）项目资金投入情况。</w:t>
      </w:r>
    </w:p>
    <w:p w14:paraId="60A0219C">
      <w:pPr>
        <w:keepNext w:val="0"/>
        <w:keepLines w:val="0"/>
        <w:pageBreakBefore w:val="0"/>
        <w:kinsoku/>
        <w:wordWrap/>
        <w:overflowPunct/>
        <w:topLinePunct w:val="0"/>
        <w:autoSpaceDE/>
        <w:autoSpaceDN/>
        <w:bidi w:val="0"/>
        <w:adjustRightInd/>
        <w:snapToGrid/>
        <w:spacing w:line="560" w:lineRule="exact"/>
        <w:ind w:firstLine="640"/>
        <w:jc w:val="both"/>
        <w:rPr>
          <w:rFonts w:hint="eastAsia" w:ascii="方正仿宋_GB2312" w:hAnsi="方正仿宋_GB2312" w:eastAsia="方正仿宋_GB2312" w:cs="方正仿宋_GB2312"/>
          <w:kern w:val="0"/>
          <w:sz w:val="32"/>
          <w:szCs w:val="32"/>
          <w:u w:val="none" w:color="auto"/>
          <w:lang w:val="en-US" w:eastAsia="zh-CN" w:bidi="ar-SA"/>
        </w:rPr>
      </w:pPr>
      <w:r>
        <w:rPr>
          <w:rFonts w:hint="default" w:ascii="方正仿宋_GB2312" w:hAnsi="方正仿宋_GB2312" w:eastAsia="方正仿宋_GB2312" w:cs="方正仿宋_GB2312"/>
          <w:kern w:val="0"/>
          <w:sz w:val="32"/>
          <w:szCs w:val="32"/>
          <w:u w:val="none" w:color="auto"/>
          <w:lang w:val="en-US" w:eastAsia="zh-CN" w:bidi="ar-SA"/>
        </w:rPr>
        <w:t>本项目资金年初预算数95万元，其中：财政拨款95万元，其他资金0万元。</w:t>
      </w:r>
    </w:p>
    <w:p w14:paraId="04B90F6B">
      <w:pPr>
        <w:keepNext w:val="0"/>
        <w:keepLines w:val="0"/>
        <w:pageBreakBefore w:val="0"/>
        <w:kinsoku/>
        <w:wordWrap/>
        <w:overflowPunct/>
        <w:topLinePunct w:val="0"/>
        <w:autoSpaceDE/>
        <w:autoSpaceDN/>
        <w:bidi w:val="0"/>
        <w:adjustRightInd/>
        <w:snapToGrid/>
        <w:spacing w:line="560" w:lineRule="exact"/>
        <w:ind w:firstLine="640"/>
        <w:jc w:val="both"/>
        <w:rPr>
          <w:rFonts w:hint="eastAsia" w:ascii="方正仿宋_GB2312" w:hAnsi="方正仿宋_GB2312" w:eastAsia="方正仿宋_GB2312" w:cs="方正仿宋_GB2312"/>
          <w:kern w:val="0"/>
          <w:sz w:val="32"/>
          <w:szCs w:val="32"/>
          <w:u w:val="none" w:color="auto"/>
          <w:lang w:val="en-US" w:eastAsia="zh-CN" w:bidi="ar-SA"/>
        </w:rPr>
      </w:pPr>
      <w:r>
        <w:rPr>
          <w:rFonts w:hint="default" w:ascii="方正仿宋_GB2312" w:hAnsi="方正仿宋_GB2312" w:eastAsia="方正仿宋_GB2312" w:cs="方正仿宋_GB2312"/>
          <w:kern w:val="0"/>
          <w:sz w:val="32"/>
          <w:szCs w:val="32"/>
          <w:u w:val="none" w:color="auto"/>
          <w:lang w:val="en-US" w:eastAsia="zh-CN" w:bidi="ar-SA"/>
        </w:rPr>
        <w:t>本项目资金年度调整金额-30.41万元，其中：财政拨款-30.41万元，其他资金0万元。</w:t>
      </w:r>
    </w:p>
    <w:p w14:paraId="5A79C8A7">
      <w:pPr>
        <w:keepNext w:val="0"/>
        <w:keepLines w:val="0"/>
        <w:pageBreakBefore w:val="0"/>
        <w:kinsoku/>
        <w:wordWrap/>
        <w:overflowPunct/>
        <w:topLinePunct w:val="0"/>
        <w:autoSpaceDE/>
        <w:autoSpaceDN/>
        <w:bidi w:val="0"/>
        <w:adjustRightInd/>
        <w:snapToGrid/>
        <w:spacing w:line="560" w:lineRule="exact"/>
        <w:ind w:firstLine="640"/>
        <w:jc w:val="both"/>
        <w:rPr>
          <w:rFonts w:hint="eastAsia" w:ascii="方正仿宋_GB2312" w:hAnsi="方正仿宋_GB2312" w:eastAsia="方正仿宋_GB2312" w:cs="方正仿宋_GB2312"/>
          <w:kern w:val="0"/>
          <w:sz w:val="32"/>
          <w:szCs w:val="32"/>
          <w:u w:val="none" w:color="auto"/>
          <w:lang w:val="en-US" w:eastAsia="zh-CN" w:bidi="ar-SA"/>
        </w:rPr>
      </w:pPr>
      <w:r>
        <w:rPr>
          <w:rFonts w:hint="default" w:ascii="方正仿宋_GB2312" w:hAnsi="方正仿宋_GB2312" w:eastAsia="方正仿宋_GB2312" w:cs="方正仿宋_GB2312"/>
          <w:kern w:val="0"/>
          <w:sz w:val="32"/>
          <w:szCs w:val="32"/>
          <w:u w:val="none" w:color="auto"/>
          <w:lang w:val="en-US" w:eastAsia="zh-CN" w:bidi="ar-SA"/>
        </w:rPr>
        <w:t>本项目资金变动后预算数64.59万元，其中：财政拨款64.59万元，其他资金0万元。</w:t>
      </w:r>
    </w:p>
    <w:p w14:paraId="0E66E386">
      <w:pPr>
        <w:keepNext w:val="0"/>
        <w:keepLines w:val="0"/>
        <w:pageBreakBefore w:val="0"/>
        <w:kinsoku/>
        <w:wordWrap/>
        <w:overflowPunct/>
        <w:topLinePunct w:val="0"/>
        <w:autoSpaceDE/>
        <w:autoSpaceDN/>
        <w:bidi w:val="0"/>
        <w:adjustRightInd/>
        <w:snapToGrid/>
        <w:spacing w:line="560" w:lineRule="exact"/>
        <w:ind w:firstLine="640"/>
        <w:jc w:val="both"/>
        <w:rPr>
          <w:rFonts w:hint="eastAsia" w:ascii="方正仿宋_GB2312" w:hAnsi="方正仿宋_GB2312" w:eastAsia="方正仿宋_GB2312" w:cs="方正仿宋_GB2312"/>
          <w:kern w:val="0"/>
          <w:sz w:val="32"/>
          <w:szCs w:val="32"/>
          <w:u w:val="none" w:color="auto"/>
          <w:lang w:val="en-US" w:eastAsia="zh-CN" w:bidi="ar-SA"/>
        </w:rPr>
      </w:pPr>
      <w:r>
        <w:rPr>
          <w:rFonts w:hint="default" w:ascii="方正仿宋_GB2312" w:hAnsi="方正仿宋_GB2312" w:eastAsia="方正仿宋_GB2312" w:cs="方正仿宋_GB2312"/>
          <w:kern w:val="0"/>
          <w:sz w:val="32"/>
          <w:szCs w:val="32"/>
          <w:u w:val="none" w:color="auto"/>
          <w:lang w:val="en-US" w:eastAsia="zh-CN" w:bidi="ar-SA"/>
        </w:rPr>
        <w:t>本项目资金全年执行数64.59万元、执行率为100%，其中：财政拨款64.59万元，其他资金0万元。</w:t>
      </w:r>
    </w:p>
    <w:p w14:paraId="47ACE79F">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baseline"/>
        <w:rPr>
          <w:rFonts w:hint="eastAsia" w:ascii="方正楷体_GB2312" w:hAnsi="方正楷体_GB2312" w:eastAsia="方正楷体_GB2312" w:cs="方正楷体_GB2312"/>
          <w:b w:val="0"/>
          <w:bCs w:val="0"/>
          <w:color w:val="auto"/>
          <w:kern w:val="0"/>
          <w:sz w:val="32"/>
          <w:szCs w:val="32"/>
          <w:u w:val="none" w:color="auto"/>
          <w:lang w:val="en-US" w:eastAsia="zh-CN" w:bidi="ar-SA"/>
        </w:rPr>
      </w:pPr>
      <w:r>
        <w:rPr>
          <w:rFonts w:hint="default" w:ascii="方正楷体_GB2312" w:hAnsi="方正楷体_GB2312" w:eastAsia="方正楷体_GB2312" w:cs="方正楷体_GB2312"/>
          <w:b w:val="0"/>
          <w:bCs w:val="0"/>
          <w:color w:val="auto"/>
          <w:kern w:val="0"/>
          <w:sz w:val="32"/>
          <w:szCs w:val="32"/>
          <w:u w:val="none" w:color="auto"/>
          <w:lang w:val="en-US" w:eastAsia="zh-CN" w:bidi="ar-SA"/>
        </w:rPr>
        <w:t>（三）项目资金产出情况。</w:t>
      </w:r>
    </w:p>
    <w:p w14:paraId="3FD1C3F5">
      <w:pPr>
        <w:keepNext w:val="0"/>
        <w:keepLines w:val="0"/>
        <w:pageBreakBefore w:val="0"/>
        <w:kinsoku/>
        <w:wordWrap/>
        <w:overflowPunct/>
        <w:topLinePunct w:val="0"/>
        <w:autoSpaceDE/>
        <w:autoSpaceDN/>
        <w:bidi w:val="0"/>
        <w:adjustRightInd/>
        <w:snapToGrid/>
        <w:spacing w:line="560" w:lineRule="exact"/>
        <w:ind w:firstLine="640"/>
        <w:jc w:val="both"/>
        <w:rPr>
          <w:rFonts w:hint="eastAsia" w:ascii="方正仿宋_GB2312" w:hAnsi="方正仿宋_GB2312" w:eastAsia="方正仿宋_GB2312" w:cs="方正仿宋_GB2312"/>
          <w:kern w:val="0"/>
          <w:sz w:val="32"/>
          <w:szCs w:val="32"/>
          <w:u w:val="none" w:color="auto"/>
          <w:lang w:val="en-US" w:eastAsia="zh-CN" w:bidi="ar-SA"/>
        </w:rPr>
      </w:pPr>
      <w:r>
        <w:rPr>
          <w:rFonts w:hint="default" w:ascii="方正仿宋_GB2312" w:hAnsi="方正仿宋_GB2312" w:eastAsia="方正仿宋_GB2312" w:cs="方正仿宋_GB2312"/>
          <w:kern w:val="0"/>
          <w:sz w:val="32"/>
          <w:szCs w:val="32"/>
          <w:u w:val="none" w:color="auto"/>
          <w:lang w:val="en-US" w:eastAsia="zh-CN" w:bidi="ar-SA"/>
        </w:rPr>
        <w:t>项目支出财政资金64.59万元。 （一）产出指标完成情况。 产出指标总分值50分，得分50分，指标全部完成。 （二）效益指标完成情况。 效益指标总分值30分，得分30分，指标全部完成。 （三）满意度指标完成情况。 满意度指标总分值10分，得分10分，指标全部完成。 （四）自评得分情况。 项目自评总分值100分，得分100分。</w:t>
      </w:r>
    </w:p>
    <w:p w14:paraId="367E7EC8">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baseline"/>
        <w:rPr>
          <w:rFonts w:hint="eastAsia" w:ascii="方正楷体_GB2312" w:hAnsi="方正楷体_GB2312" w:eastAsia="方正楷体_GB2312" w:cs="方正楷体_GB2312"/>
          <w:b w:val="0"/>
          <w:bCs w:val="0"/>
          <w:color w:val="auto"/>
          <w:kern w:val="0"/>
          <w:sz w:val="32"/>
          <w:szCs w:val="32"/>
          <w:u w:val="none" w:color="auto"/>
          <w:lang w:val="en-US" w:eastAsia="zh-CN" w:bidi="ar-SA"/>
        </w:rPr>
      </w:pPr>
      <w:r>
        <w:rPr>
          <w:rFonts w:hint="default" w:ascii="方正楷体_GB2312" w:hAnsi="方正楷体_GB2312" w:eastAsia="方正楷体_GB2312" w:cs="方正楷体_GB2312"/>
          <w:b w:val="0"/>
          <w:bCs w:val="0"/>
          <w:color w:val="auto"/>
          <w:kern w:val="0"/>
          <w:sz w:val="32"/>
          <w:szCs w:val="32"/>
          <w:u w:val="none" w:color="auto"/>
          <w:lang w:val="en-US" w:eastAsia="zh-CN" w:bidi="ar-SA"/>
        </w:rPr>
        <w:t>（四）项目资金管理情况。</w:t>
      </w:r>
    </w:p>
    <w:p w14:paraId="3B779AE3">
      <w:pPr>
        <w:keepNext w:val="0"/>
        <w:keepLines w:val="0"/>
        <w:pageBreakBefore w:val="0"/>
        <w:kinsoku/>
        <w:wordWrap/>
        <w:overflowPunct/>
        <w:topLinePunct w:val="0"/>
        <w:autoSpaceDE/>
        <w:autoSpaceDN/>
        <w:bidi w:val="0"/>
        <w:adjustRightInd/>
        <w:snapToGrid/>
        <w:spacing w:line="560" w:lineRule="exact"/>
        <w:ind w:firstLine="640"/>
        <w:jc w:val="both"/>
        <w:rPr>
          <w:rFonts w:hint="eastAsia" w:ascii="方正仿宋_GB2312" w:hAnsi="方正仿宋_GB2312" w:eastAsia="方正仿宋_GB2312" w:cs="方正仿宋_GB2312"/>
          <w:kern w:val="0"/>
          <w:sz w:val="32"/>
          <w:szCs w:val="32"/>
          <w:u w:val="none" w:color="auto"/>
          <w:lang w:val="en-US" w:eastAsia="zh-CN" w:bidi="ar-SA"/>
        </w:rPr>
      </w:pPr>
      <w:r>
        <w:rPr>
          <w:rFonts w:hint="default" w:ascii="方正仿宋_GB2312" w:hAnsi="方正仿宋_GB2312" w:eastAsia="方正仿宋_GB2312" w:cs="方正仿宋_GB2312"/>
          <w:kern w:val="0"/>
          <w:sz w:val="32"/>
          <w:szCs w:val="32"/>
          <w:u w:val="none" w:color="auto"/>
          <w:lang w:val="en-US" w:eastAsia="zh-CN" w:bidi="ar-SA"/>
        </w:rPr>
        <w:t>1.资金到位情况。项目资金到位及时，到位率100%。 2.资金使用情况。项目资金已支出，严格执行了财务管理制度，财务处理及时，会计核算规范。 3.项目组织实施情况。我市通过干部保健体检，发现健康危险因素，根据健康状况进行分类管理，并对健康的保健对象，进行定期监测和生活方式指导服务，给予门诊、住院或转院服务，减少健康危险因素，降低慢性病发病率。 4.项目效益情况。项目产生了良好的社会效益，为全市的卫生健康事业做出了良好的贡献。</w:t>
      </w:r>
    </w:p>
    <w:p w14:paraId="44AE6181">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80"/>
        <w:jc w:val="both"/>
        <w:rPr>
          <w:rFonts w:hint="eastAsia" w:ascii="宋体" w:hAnsi="宋体" w:eastAsia="宋体" w:cs="宋体"/>
          <w:i w:val="0"/>
          <w:iCs w:val="0"/>
          <w:caps w:val="0"/>
          <w:color w:val="000000"/>
          <w:spacing w:val="0"/>
          <w:sz w:val="24"/>
          <w:szCs w:val="24"/>
          <w:u w:val="none" w:color="auto"/>
        </w:rPr>
      </w:pPr>
      <w:r>
        <w:rPr>
          <w:rFonts w:hint="default" w:ascii="黑体" w:hAnsi="宋体" w:eastAsia="黑体" w:cs="黑体"/>
          <w:b/>
          <w:bCs/>
          <w:i w:val="0"/>
          <w:iCs w:val="0"/>
          <w:caps w:val="0"/>
          <w:color w:val="000000"/>
          <w:spacing w:val="0"/>
          <w:sz w:val="32"/>
          <w:szCs w:val="32"/>
          <w:u w:val="none" w:color="auto"/>
          <w:shd w:val="clear" w:fill="FFFFFF"/>
          <w:lang w:val="en-US"/>
        </w:rPr>
        <w:t>三、项目绩效情况</w:t>
      </w:r>
    </w:p>
    <w:p w14:paraId="155C1326">
      <w:pPr>
        <w:keepNext w:val="0"/>
        <w:keepLines w:val="0"/>
        <w:pageBreakBefore w:val="0"/>
        <w:kinsoku/>
        <w:wordWrap/>
        <w:overflowPunct/>
        <w:topLinePunct w:val="0"/>
        <w:autoSpaceDE/>
        <w:autoSpaceDN/>
        <w:bidi w:val="0"/>
        <w:adjustRightInd/>
        <w:snapToGrid/>
        <w:spacing w:line="560" w:lineRule="exact"/>
        <w:ind w:firstLine="640"/>
        <w:jc w:val="both"/>
        <w:rPr>
          <w:rFonts w:hint="eastAsia" w:ascii="方正仿宋_GB2312" w:hAnsi="方正仿宋_GB2312" w:eastAsia="方正仿宋_GB2312" w:cs="方正仿宋_GB2312"/>
          <w:kern w:val="0"/>
          <w:sz w:val="32"/>
          <w:szCs w:val="32"/>
          <w:u w:val="none" w:color="auto"/>
          <w:lang w:val="en-US" w:eastAsia="zh-CN" w:bidi="ar-SA"/>
        </w:rPr>
      </w:pPr>
      <w:r>
        <w:rPr>
          <w:rFonts w:hint="default" w:ascii="方正仿宋_GB2312" w:hAnsi="方正仿宋_GB2312" w:eastAsia="方正仿宋_GB2312" w:cs="方正仿宋_GB2312"/>
          <w:kern w:val="0"/>
          <w:sz w:val="32"/>
          <w:szCs w:val="32"/>
          <w:u w:val="none" w:color="auto"/>
          <w:lang w:val="en-US" w:eastAsia="zh-CN" w:bidi="ar-SA"/>
        </w:rPr>
        <w:t>1.产出指标完成情况</w:t>
      </w:r>
    </w:p>
    <w:p w14:paraId="0B27C847">
      <w:pPr>
        <w:keepNext w:val="0"/>
        <w:keepLines w:val="0"/>
        <w:pageBreakBefore w:val="0"/>
        <w:kinsoku/>
        <w:wordWrap/>
        <w:overflowPunct/>
        <w:topLinePunct w:val="0"/>
        <w:autoSpaceDE/>
        <w:autoSpaceDN/>
        <w:bidi w:val="0"/>
        <w:adjustRightInd/>
        <w:snapToGrid/>
        <w:spacing w:line="560" w:lineRule="exact"/>
        <w:ind w:firstLine="640"/>
        <w:jc w:val="both"/>
        <w:rPr>
          <w:rFonts w:hint="eastAsia" w:ascii="方正仿宋_GB2312" w:hAnsi="方正仿宋_GB2312" w:eastAsia="方正仿宋_GB2312" w:cs="方正仿宋_GB2312"/>
          <w:kern w:val="0"/>
          <w:sz w:val="32"/>
          <w:szCs w:val="32"/>
          <w:u w:val="none" w:color="auto"/>
          <w:lang w:val="en-US" w:eastAsia="zh-CN" w:bidi="ar-SA"/>
        </w:rPr>
      </w:pPr>
      <w:r>
        <w:rPr>
          <w:rFonts w:hint="default" w:ascii="方正仿宋_GB2312" w:hAnsi="方正仿宋_GB2312" w:eastAsia="方正仿宋_GB2312" w:cs="方正仿宋_GB2312"/>
          <w:kern w:val="0"/>
          <w:sz w:val="32"/>
          <w:szCs w:val="32"/>
          <w:u w:val="none" w:color="auto"/>
          <w:lang w:val="en-US" w:eastAsia="zh-CN" w:bidi="ar-SA"/>
        </w:rPr>
        <w:t>（1）数量指标</w:t>
      </w:r>
    </w:p>
    <w:p w14:paraId="19DED0C4">
      <w:pPr>
        <w:keepNext w:val="0"/>
        <w:keepLines w:val="0"/>
        <w:pageBreakBefore w:val="0"/>
        <w:kinsoku/>
        <w:wordWrap/>
        <w:overflowPunct/>
        <w:topLinePunct w:val="0"/>
        <w:autoSpaceDE/>
        <w:autoSpaceDN/>
        <w:bidi w:val="0"/>
        <w:adjustRightInd/>
        <w:snapToGrid/>
        <w:spacing w:line="560" w:lineRule="exact"/>
        <w:ind w:firstLine="640"/>
        <w:jc w:val="both"/>
        <w:rPr>
          <w:rFonts w:hint="eastAsia" w:ascii="方正仿宋_GB2312" w:hAnsi="方正仿宋_GB2312" w:eastAsia="方正仿宋_GB2312" w:cs="方正仿宋_GB2312"/>
          <w:kern w:val="0"/>
          <w:sz w:val="32"/>
          <w:szCs w:val="32"/>
          <w:u w:val="none" w:color="auto"/>
          <w:lang w:val="en-US" w:eastAsia="zh-CN" w:bidi="ar-SA"/>
        </w:rPr>
      </w:pPr>
      <w:r>
        <w:rPr>
          <w:rFonts w:hint="default" w:ascii="方正仿宋_GB2312" w:hAnsi="方正仿宋_GB2312" w:eastAsia="方正仿宋_GB2312" w:cs="方正仿宋_GB2312"/>
          <w:kern w:val="0"/>
          <w:sz w:val="32"/>
          <w:szCs w:val="32"/>
          <w:u w:val="none" w:color="auto"/>
          <w:lang w:val="en-US" w:eastAsia="zh-CN" w:bidi="ar-SA"/>
        </w:rPr>
        <w:t>1）保健体检人数(人)，目标值210，完成值246，分值5，得分5。</w:t>
      </w:r>
    </w:p>
    <w:p w14:paraId="06E21083">
      <w:pPr>
        <w:keepNext w:val="0"/>
        <w:keepLines w:val="0"/>
        <w:pageBreakBefore w:val="0"/>
        <w:kinsoku/>
        <w:wordWrap/>
        <w:overflowPunct/>
        <w:topLinePunct w:val="0"/>
        <w:autoSpaceDE/>
        <w:autoSpaceDN/>
        <w:bidi w:val="0"/>
        <w:adjustRightInd/>
        <w:snapToGrid/>
        <w:spacing w:line="560" w:lineRule="exact"/>
        <w:ind w:firstLine="640"/>
        <w:jc w:val="both"/>
        <w:rPr>
          <w:rFonts w:hint="eastAsia" w:ascii="方正仿宋_GB2312" w:hAnsi="方正仿宋_GB2312" w:eastAsia="方正仿宋_GB2312" w:cs="方正仿宋_GB2312"/>
          <w:kern w:val="0"/>
          <w:sz w:val="32"/>
          <w:szCs w:val="32"/>
          <w:u w:val="none" w:color="auto"/>
          <w:lang w:val="en-US" w:eastAsia="zh-CN" w:bidi="ar-SA"/>
        </w:rPr>
      </w:pPr>
      <w:r>
        <w:rPr>
          <w:rFonts w:hint="default" w:ascii="方正仿宋_GB2312" w:hAnsi="方正仿宋_GB2312" w:eastAsia="方正仿宋_GB2312" w:cs="方正仿宋_GB2312"/>
          <w:kern w:val="0"/>
          <w:sz w:val="32"/>
          <w:szCs w:val="32"/>
          <w:u w:val="none" w:color="auto"/>
          <w:lang w:val="en-US" w:eastAsia="zh-CN" w:bidi="ar-SA"/>
        </w:rPr>
        <w:t>2）重大活动医疗保健任务(次)，目标值1，完成值17，分值5，得分5。</w:t>
      </w:r>
    </w:p>
    <w:p w14:paraId="501E9691">
      <w:pPr>
        <w:keepNext w:val="0"/>
        <w:keepLines w:val="0"/>
        <w:pageBreakBefore w:val="0"/>
        <w:kinsoku/>
        <w:wordWrap/>
        <w:overflowPunct/>
        <w:topLinePunct w:val="0"/>
        <w:autoSpaceDE/>
        <w:autoSpaceDN/>
        <w:bidi w:val="0"/>
        <w:adjustRightInd/>
        <w:snapToGrid/>
        <w:spacing w:line="560" w:lineRule="exact"/>
        <w:ind w:firstLine="640"/>
        <w:jc w:val="both"/>
        <w:rPr>
          <w:rFonts w:hint="eastAsia" w:ascii="方正仿宋_GB2312" w:hAnsi="方正仿宋_GB2312" w:eastAsia="方正仿宋_GB2312" w:cs="方正仿宋_GB2312"/>
          <w:kern w:val="0"/>
          <w:sz w:val="32"/>
          <w:szCs w:val="32"/>
          <w:u w:val="none" w:color="auto"/>
          <w:lang w:val="en-US" w:eastAsia="zh-CN" w:bidi="ar-SA"/>
        </w:rPr>
      </w:pPr>
      <w:r>
        <w:rPr>
          <w:rFonts w:hint="default" w:ascii="方正仿宋_GB2312" w:hAnsi="方正仿宋_GB2312" w:eastAsia="方正仿宋_GB2312" w:cs="方正仿宋_GB2312"/>
          <w:kern w:val="0"/>
          <w:sz w:val="32"/>
          <w:szCs w:val="32"/>
          <w:u w:val="none" w:color="auto"/>
          <w:lang w:val="en-US" w:eastAsia="zh-CN" w:bidi="ar-SA"/>
        </w:rPr>
        <w:t>3）配置保健药箱(份)，目标值50，完成值54，分值5，得分5。</w:t>
      </w:r>
    </w:p>
    <w:p w14:paraId="3CFE43C9">
      <w:pPr>
        <w:keepNext w:val="0"/>
        <w:keepLines w:val="0"/>
        <w:pageBreakBefore w:val="0"/>
        <w:kinsoku/>
        <w:wordWrap/>
        <w:overflowPunct/>
        <w:topLinePunct w:val="0"/>
        <w:autoSpaceDE/>
        <w:autoSpaceDN/>
        <w:bidi w:val="0"/>
        <w:adjustRightInd/>
        <w:snapToGrid/>
        <w:spacing w:line="560" w:lineRule="exact"/>
        <w:ind w:firstLine="640"/>
        <w:jc w:val="both"/>
        <w:rPr>
          <w:rFonts w:hint="eastAsia" w:ascii="方正仿宋_GB2312" w:hAnsi="方正仿宋_GB2312" w:eastAsia="方正仿宋_GB2312" w:cs="方正仿宋_GB2312"/>
          <w:kern w:val="0"/>
          <w:sz w:val="32"/>
          <w:szCs w:val="32"/>
          <w:u w:val="none" w:color="auto"/>
          <w:lang w:val="en-US" w:eastAsia="zh-CN" w:bidi="ar-SA"/>
        </w:rPr>
      </w:pPr>
      <w:r>
        <w:rPr>
          <w:rFonts w:hint="default" w:ascii="方正仿宋_GB2312" w:hAnsi="方正仿宋_GB2312" w:eastAsia="方正仿宋_GB2312" w:cs="方正仿宋_GB2312"/>
          <w:kern w:val="0"/>
          <w:sz w:val="32"/>
          <w:szCs w:val="32"/>
          <w:u w:val="none" w:color="auto"/>
          <w:lang w:val="en-US" w:eastAsia="zh-CN" w:bidi="ar-SA"/>
        </w:rPr>
        <w:t>（2）质量指标</w:t>
      </w:r>
    </w:p>
    <w:p w14:paraId="6D1B8CE9">
      <w:pPr>
        <w:keepNext w:val="0"/>
        <w:keepLines w:val="0"/>
        <w:pageBreakBefore w:val="0"/>
        <w:kinsoku/>
        <w:wordWrap/>
        <w:overflowPunct/>
        <w:topLinePunct w:val="0"/>
        <w:autoSpaceDE/>
        <w:autoSpaceDN/>
        <w:bidi w:val="0"/>
        <w:adjustRightInd/>
        <w:snapToGrid/>
        <w:spacing w:line="560" w:lineRule="exact"/>
        <w:ind w:firstLine="640"/>
        <w:jc w:val="both"/>
        <w:rPr>
          <w:rFonts w:hint="eastAsia" w:ascii="方正仿宋_GB2312" w:hAnsi="方正仿宋_GB2312" w:eastAsia="方正仿宋_GB2312" w:cs="方正仿宋_GB2312"/>
          <w:kern w:val="0"/>
          <w:sz w:val="32"/>
          <w:szCs w:val="32"/>
          <w:u w:val="none" w:color="auto"/>
          <w:lang w:val="en-US" w:eastAsia="zh-CN" w:bidi="ar-SA"/>
        </w:rPr>
      </w:pPr>
      <w:r>
        <w:rPr>
          <w:rFonts w:hint="default" w:ascii="方正仿宋_GB2312" w:hAnsi="方正仿宋_GB2312" w:eastAsia="方正仿宋_GB2312" w:cs="方正仿宋_GB2312"/>
          <w:kern w:val="0"/>
          <w:sz w:val="32"/>
          <w:szCs w:val="32"/>
          <w:u w:val="none" w:color="auto"/>
          <w:lang w:val="en-US" w:eastAsia="zh-CN" w:bidi="ar-SA"/>
        </w:rPr>
        <w:t>1）干部保健体检率(%)，目标值70，完成值81，分值5，得分5。</w:t>
      </w:r>
    </w:p>
    <w:p w14:paraId="382EAB42">
      <w:pPr>
        <w:keepNext w:val="0"/>
        <w:keepLines w:val="0"/>
        <w:pageBreakBefore w:val="0"/>
        <w:kinsoku/>
        <w:wordWrap/>
        <w:overflowPunct/>
        <w:topLinePunct w:val="0"/>
        <w:autoSpaceDE/>
        <w:autoSpaceDN/>
        <w:bidi w:val="0"/>
        <w:adjustRightInd/>
        <w:snapToGrid/>
        <w:spacing w:line="560" w:lineRule="exact"/>
        <w:ind w:firstLine="640"/>
        <w:jc w:val="both"/>
        <w:rPr>
          <w:rFonts w:hint="eastAsia" w:ascii="方正仿宋_GB2312" w:hAnsi="方正仿宋_GB2312" w:eastAsia="方正仿宋_GB2312" w:cs="方正仿宋_GB2312"/>
          <w:kern w:val="0"/>
          <w:sz w:val="32"/>
          <w:szCs w:val="32"/>
          <w:u w:val="none" w:color="auto"/>
          <w:lang w:val="en-US" w:eastAsia="zh-CN" w:bidi="ar-SA"/>
        </w:rPr>
      </w:pPr>
      <w:r>
        <w:rPr>
          <w:rFonts w:hint="default" w:ascii="方正仿宋_GB2312" w:hAnsi="方正仿宋_GB2312" w:eastAsia="方正仿宋_GB2312" w:cs="方正仿宋_GB2312"/>
          <w:kern w:val="0"/>
          <w:sz w:val="32"/>
          <w:szCs w:val="32"/>
          <w:u w:val="none" w:color="auto"/>
          <w:lang w:val="en-US" w:eastAsia="zh-CN" w:bidi="ar-SA"/>
        </w:rPr>
        <w:t>2）干部市外复查接待率(%)，目标值100，完成值100，分值5，得分5。</w:t>
      </w:r>
    </w:p>
    <w:p w14:paraId="3E719C9E">
      <w:pPr>
        <w:keepNext w:val="0"/>
        <w:keepLines w:val="0"/>
        <w:pageBreakBefore w:val="0"/>
        <w:kinsoku/>
        <w:wordWrap/>
        <w:overflowPunct/>
        <w:topLinePunct w:val="0"/>
        <w:autoSpaceDE/>
        <w:autoSpaceDN/>
        <w:bidi w:val="0"/>
        <w:adjustRightInd/>
        <w:snapToGrid/>
        <w:spacing w:line="560" w:lineRule="exact"/>
        <w:ind w:firstLine="640"/>
        <w:jc w:val="both"/>
        <w:rPr>
          <w:rFonts w:hint="eastAsia" w:ascii="方正仿宋_GB2312" w:hAnsi="方正仿宋_GB2312" w:eastAsia="方正仿宋_GB2312" w:cs="方正仿宋_GB2312"/>
          <w:kern w:val="0"/>
          <w:sz w:val="32"/>
          <w:szCs w:val="32"/>
          <w:u w:val="none" w:color="auto"/>
          <w:lang w:val="en-US" w:eastAsia="zh-CN" w:bidi="ar-SA"/>
        </w:rPr>
      </w:pPr>
      <w:r>
        <w:rPr>
          <w:rFonts w:hint="default" w:ascii="方正仿宋_GB2312" w:hAnsi="方正仿宋_GB2312" w:eastAsia="方正仿宋_GB2312" w:cs="方正仿宋_GB2312"/>
          <w:kern w:val="0"/>
          <w:sz w:val="32"/>
          <w:szCs w:val="32"/>
          <w:u w:val="none" w:color="auto"/>
          <w:lang w:val="en-US" w:eastAsia="zh-CN" w:bidi="ar-SA"/>
        </w:rPr>
        <w:t>3）重大活动医疗保健任务完成率(%)，目标值100，完成值100，分值5，得分5。</w:t>
      </w:r>
    </w:p>
    <w:p w14:paraId="17746ACB">
      <w:pPr>
        <w:keepNext w:val="0"/>
        <w:keepLines w:val="0"/>
        <w:pageBreakBefore w:val="0"/>
        <w:kinsoku/>
        <w:wordWrap/>
        <w:overflowPunct/>
        <w:topLinePunct w:val="0"/>
        <w:autoSpaceDE/>
        <w:autoSpaceDN/>
        <w:bidi w:val="0"/>
        <w:adjustRightInd/>
        <w:snapToGrid/>
        <w:spacing w:line="560" w:lineRule="exact"/>
        <w:ind w:firstLine="640"/>
        <w:jc w:val="both"/>
        <w:rPr>
          <w:rFonts w:hint="eastAsia" w:ascii="方正仿宋_GB2312" w:hAnsi="方正仿宋_GB2312" w:eastAsia="方正仿宋_GB2312" w:cs="方正仿宋_GB2312"/>
          <w:kern w:val="0"/>
          <w:sz w:val="32"/>
          <w:szCs w:val="32"/>
          <w:u w:val="none" w:color="auto"/>
          <w:lang w:val="en-US" w:eastAsia="zh-CN" w:bidi="ar-SA"/>
        </w:rPr>
      </w:pPr>
      <w:r>
        <w:rPr>
          <w:rFonts w:hint="default" w:ascii="方正仿宋_GB2312" w:hAnsi="方正仿宋_GB2312" w:eastAsia="方正仿宋_GB2312" w:cs="方正仿宋_GB2312"/>
          <w:kern w:val="0"/>
          <w:sz w:val="32"/>
          <w:szCs w:val="32"/>
          <w:u w:val="none" w:color="auto"/>
          <w:lang w:val="en-US" w:eastAsia="zh-CN" w:bidi="ar-SA"/>
        </w:rPr>
        <w:t>（3）时效指标</w:t>
      </w:r>
    </w:p>
    <w:p w14:paraId="7C45D634">
      <w:pPr>
        <w:keepNext w:val="0"/>
        <w:keepLines w:val="0"/>
        <w:pageBreakBefore w:val="0"/>
        <w:kinsoku/>
        <w:wordWrap/>
        <w:overflowPunct/>
        <w:topLinePunct w:val="0"/>
        <w:autoSpaceDE/>
        <w:autoSpaceDN/>
        <w:bidi w:val="0"/>
        <w:adjustRightInd/>
        <w:snapToGrid/>
        <w:spacing w:line="560" w:lineRule="exact"/>
        <w:ind w:firstLine="640"/>
        <w:jc w:val="both"/>
        <w:rPr>
          <w:rFonts w:hint="eastAsia" w:ascii="方正仿宋_GB2312" w:hAnsi="方正仿宋_GB2312" w:eastAsia="方正仿宋_GB2312" w:cs="方正仿宋_GB2312"/>
          <w:kern w:val="0"/>
          <w:sz w:val="32"/>
          <w:szCs w:val="32"/>
          <w:u w:val="none" w:color="auto"/>
          <w:lang w:val="en-US" w:eastAsia="zh-CN" w:bidi="ar-SA"/>
        </w:rPr>
      </w:pPr>
      <w:r>
        <w:rPr>
          <w:rFonts w:hint="default" w:ascii="方正仿宋_GB2312" w:hAnsi="方正仿宋_GB2312" w:eastAsia="方正仿宋_GB2312" w:cs="方正仿宋_GB2312"/>
          <w:kern w:val="0"/>
          <w:sz w:val="32"/>
          <w:szCs w:val="32"/>
          <w:u w:val="none" w:color="auto"/>
          <w:lang w:val="en-US" w:eastAsia="zh-CN" w:bidi="ar-SA"/>
        </w:rPr>
        <w:t>1）整体工作完成时间，目标值2025年12月前，完成值2025年12月前，分值5，得分5。</w:t>
      </w:r>
    </w:p>
    <w:p w14:paraId="1DEBFB45">
      <w:pPr>
        <w:keepNext w:val="0"/>
        <w:keepLines w:val="0"/>
        <w:pageBreakBefore w:val="0"/>
        <w:kinsoku/>
        <w:wordWrap/>
        <w:overflowPunct/>
        <w:topLinePunct w:val="0"/>
        <w:autoSpaceDE/>
        <w:autoSpaceDN/>
        <w:bidi w:val="0"/>
        <w:adjustRightInd/>
        <w:snapToGrid/>
        <w:spacing w:line="560" w:lineRule="exact"/>
        <w:ind w:firstLine="640"/>
        <w:jc w:val="both"/>
        <w:rPr>
          <w:rFonts w:hint="eastAsia" w:ascii="方正仿宋_GB2312" w:hAnsi="方正仿宋_GB2312" w:eastAsia="方正仿宋_GB2312" w:cs="方正仿宋_GB2312"/>
          <w:kern w:val="0"/>
          <w:sz w:val="32"/>
          <w:szCs w:val="32"/>
          <w:u w:val="none" w:color="auto"/>
          <w:lang w:val="en-US" w:eastAsia="zh-CN" w:bidi="ar-SA"/>
        </w:rPr>
      </w:pPr>
      <w:r>
        <w:rPr>
          <w:rFonts w:hint="default" w:ascii="方正仿宋_GB2312" w:hAnsi="方正仿宋_GB2312" w:eastAsia="方正仿宋_GB2312" w:cs="方正仿宋_GB2312"/>
          <w:kern w:val="0"/>
          <w:sz w:val="32"/>
          <w:szCs w:val="32"/>
          <w:u w:val="none" w:color="auto"/>
          <w:lang w:val="en-US" w:eastAsia="zh-CN" w:bidi="ar-SA"/>
        </w:rPr>
        <w:t>2）资金拨付及时率(%)，目标值100，完成值100，分值5，得分5。</w:t>
      </w:r>
    </w:p>
    <w:p w14:paraId="242D9EBE">
      <w:pPr>
        <w:keepNext w:val="0"/>
        <w:keepLines w:val="0"/>
        <w:pageBreakBefore w:val="0"/>
        <w:kinsoku/>
        <w:wordWrap/>
        <w:overflowPunct/>
        <w:topLinePunct w:val="0"/>
        <w:autoSpaceDE/>
        <w:autoSpaceDN/>
        <w:bidi w:val="0"/>
        <w:adjustRightInd/>
        <w:snapToGrid/>
        <w:spacing w:line="560" w:lineRule="exact"/>
        <w:ind w:firstLine="640"/>
        <w:jc w:val="both"/>
        <w:rPr>
          <w:rFonts w:hint="eastAsia" w:ascii="方正仿宋_GB2312" w:hAnsi="方正仿宋_GB2312" w:eastAsia="方正仿宋_GB2312" w:cs="方正仿宋_GB2312"/>
          <w:kern w:val="0"/>
          <w:sz w:val="32"/>
          <w:szCs w:val="32"/>
          <w:u w:val="none" w:color="auto"/>
          <w:lang w:val="en-US" w:eastAsia="zh-CN" w:bidi="ar-SA"/>
        </w:rPr>
      </w:pPr>
      <w:r>
        <w:rPr>
          <w:rFonts w:hint="default" w:ascii="方正仿宋_GB2312" w:hAnsi="方正仿宋_GB2312" w:eastAsia="方正仿宋_GB2312" w:cs="方正仿宋_GB2312"/>
          <w:kern w:val="0"/>
          <w:sz w:val="32"/>
          <w:szCs w:val="32"/>
          <w:u w:val="none" w:color="auto"/>
          <w:lang w:val="en-US" w:eastAsia="zh-CN" w:bidi="ar-SA"/>
        </w:rPr>
        <w:t>（4）成本指标</w:t>
      </w:r>
    </w:p>
    <w:p w14:paraId="04083F86">
      <w:pPr>
        <w:keepNext w:val="0"/>
        <w:keepLines w:val="0"/>
        <w:pageBreakBefore w:val="0"/>
        <w:kinsoku/>
        <w:wordWrap/>
        <w:overflowPunct/>
        <w:topLinePunct w:val="0"/>
        <w:autoSpaceDE/>
        <w:autoSpaceDN/>
        <w:bidi w:val="0"/>
        <w:adjustRightInd/>
        <w:snapToGrid/>
        <w:spacing w:line="560" w:lineRule="exact"/>
        <w:ind w:firstLine="640"/>
        <w:jc w:val="both"/>
        <w:rPr>
          <w:rFonts w:hint="eastAsia" w:ascii="方正仿宋_GB2312" w:hAnsi="方正仿宋_GB2312" w:eastAsia="方正仿宋_GB2312" w:cs="方正仿宋_GB2312"/>
          <w:kern w:val="0"/>
          <w:sz w:val="32"/>
          <w:szCs w:val="32"/>
          <w:u w:val="none" w:color="auto"/>
          <w:lang w:val="en-US" w:eastAsia="zh-CN" w:bidi="ar-SA"/>
        </w:rPr>
      </w:pPr>
      <w:r>
        <w:rPr>
          <w:rFonts w:hint="default" w:ascii="方正仿宋_GB2312" w:hAnsi="方正仿宋_GB2312" w:eastAsia="方正仿宋_GB2312" w:cs="方正仿宋_GB2312"/>
          <w:kern w:val="0"/>
          <w:sz w:val="32"/>
          <w:szCs w:val="32"/>
          <w:u w:val="none" w:color="auto"/>
          <w:lang w:val="en-US" w:eastAsia="zh-CN" w:bidi="ar-SA"/>
        </w:rPr>
        <w:t>1）人均干部保健体检成本(元/人)，目标值3200，完成值2495，分值4，得分4。</w:t>
      </w:r>
    </w:p>
    <w:p w14:paraId="3478C7A2">
      <w:pPr>
        <w:keepNext w:val="0"/>
        <w:keepLines w:val="0"/>
        <w:pageBreakBefore w:val="0"/>
        <w:kinsoku/>
        <w:wordWrap/>
        <w:overflowPunct/>
        <w:topLinePunct w:val="0"/>
        <w:autoSpaceDE/>
        <w:autoSpaceDN/>
        <w:bidi w:val="0"/>
        <w:adjustRightInd/>
        <w:snapToGrid/>
        <w:spacing w:line="560" w:lineRule="exact"/>
        <w:ind w:firstLine="640"/>
        <w:jc w:val="both"/>
        <w:rPr>
          <w:rFonts w:hint="eastAsia" w:ascii="方正仿宋_GB2312" w:hAnsi="方正仿宋_GB2312" w:eastAsia="方正仿宋_GB2312" w:cs="方正仿宋_GB2312"/>
          <w:kern w:val="0"/>
          <w:sz w:val="32"/>
          <w:szCs w:val="32"/>
          <w:u w:val="none" w:color="auto"/>
          <w:lang w:val="en-US" w:eastAsia="zh-CN" w:bidi="ar-SA"/>
        </w:rPr>
      </w:pPr>
      <w:r>
        <w:rPr>
          <w:rFonts w:hint="default" w:ascii="方正仿宋_GB2312" w:hAnsi="方正仿宋_GB2312" w:eastAsia="方正仿宋_GB2312" w:cs="方正仿宋_GB2312"/>
          <w:kern w:val="0"/>
          <w:sz w:val="32"/>
          <w:szCs w:val="32"/>
          <w:u w:val="none" w:color="auto"/>
          <w:lang w:val="en-US" w:eastAsia="zh-CN" w:bidi="ar-SA"/>
        </w:rPr>
        <w:t>2）保健药箱配置成本(元/份)，目标值300，完成值296.64，分值3，得分3。</w:t>
      </w:r>
    </w:p>
    <w:p w14:paraId="73F283E3">
      <w:pPr>
        <w:keepNext w:val="0"/>
        <w:keepLines w:val="0"/>
        <w:pageBreakBefore w:val="0"/>
        <w:kinsoku/>
        <w:wordWrap/>
        <w:overflowPunct/>
        <w:topLinePunct w:val="0"/>
        <w:autoSpaceDE/>
        <w:autoSpaceDN/>
        <w:bidi w:val="0"/>
        <w:adjustRightInd/>
        <w:snapToGrid/>
        <w:spacing w:line="560" w:lineRule="exact"/>
        <w:ind w:firstLine="640"/>
        <w:jc w:val="both"/>
        <w:rPr>
          <w:rFonts w:hint="eastAsia" w:ascii="方正仿宋_GB2312" w:hAnsi="方正仿宋_GB2312" w:eastAsia="方正仿宋_GB2312" w:cs="方正仿宋_GB2312"/>
          <w:kern w:val="0"/>
          <w:sz w:val="32"/>
          <w:szCs w:val="32"/>
          <w:u w:val="none" w:color="auto"/>
          <w:lang w:val="en-US" w:eastAsia="zh-CN" w:bidi="ar-SA"/>
        </w:rPr>
      </w:pPr>
      <w:r>
        <w:rPr>
          <w:rFonts w:hint="default" w:ascii="方正仿宋_GB2312" w:hAnsi="方正仿宋_GB2312" w:eastAsia="方正仿宋_GB2312" w:cs="方正仿宋_GB2312"/>
          <w:kern w:val="0"/>
          <w:sz w:val="32"/>
          <w:szCs w:val="32"/>
          <w:u w:val="none" w:color="auto"/>
          <w:lang w:val="en-US" w:eastAsia="zh-CN" w:bidi="ar-SA"/>
        </w:rPr>
        <w:t>3）人均市外复查陪同出差成本(元/日)，目标值1500，完成值0，分值3，得分3。</w:t>
      </w:r>
    </w:p>
    <w:p w14:paraId="52E67CBF">
      <w:pPr>
        <w:keepNext w:val="0"/>
        <w:keepLines w:val="0"/>
        <w:pageBreakBefore w:val="0"/>
        <w:kinsoku/>
        <w:wordWrap/>
        <w:overflowPunct/>
        <w:topLinePunct w:val="0"/>
        <w:autoSpaceDE/>
        <w:autoSpaceDN/>
        <w:bidi w:val="0"/>
        <w:adjustRightInd/>
        <w:snapToGrid/>
        <w:spacing w:line="560" w:lineRule="exact"/>
        <w:ind w:firstLine="640"/>
        <w:jc w:val="both"/>
        <w:rPr>
          <w:rFonts w:hint="eastAsia" w:ascii="方正仿宋_GB2312" w:hAnsi="方正仿宋_GB2312" w:eastAsia="方正仿宋_GB2312" w:cs="方正仿宋_GB2312"/>
          <w:kern w:val="0"/>
          <w:sz w:val="32"/>
          <w:szCs w:val="32"/>
          <w:u w:val="none" w:color="auto"/>
          <w:lang w:val="en-US" w:eastAsia="zh-CN" w:bidi="ar-SA"/>
        </w:rPr>
      </w:pPr>
      <w:r>
        <w:rPr>
          <w:rFonts w:hint="default" w:ascii="方正仿宋_GB2312" w:hAnsi="方正仿宋_GB2312" w:eastAsia="方正仿宋_GB2312" w:cs="方正仿宋_GB2312"/>
          <w:kern w:val="0"/>
          <w:sz w:val="32"/>
          <w:szCs w:val="32"/>
          <w:u w:val="none" w:color="auto"/>
          <w:lang w:val="en-US" w:eastAsia="zh-CN" w:bidi="ar-SA"/>
        </w:rPr>
        <w:t>2.效益指标完成情况</w:t>
      </w:r>
    </w:p>
    <w:p w14:paraId="2189A33C">
      <w:pPr>
        <w:keepNext w:val="0"/>
        <w:keepLines w:val="0"/>
        <w:pageBreakBefore w:val="0"/>
        <w:kinsoku/>
        <w:wordWrap/>
        <w:overflowPunct/>
        <w:topLinePunct w:val="0"/>
        <w:autoSpaceDE/>
        <w:autoSpaceDN/>
        <w:bidi w:val="0"/>
        <w:adjustRightInd/>
        <w:snapToGrid/>
        <w:spacing w:line="560" w:lineRule="exact"/>
        <w:ind w:firstLine="640"/>
        <w:jc w:val="both"/>
        <w:rPr>
          <w:rFonts w:hint="eastAsia" w:ascii="方正仿宋_GB2312" w:hAnsi="方正仿宋_GB2312" w:eastAsia="方正仿宋_GB2312" w:cs="方正仿宋_GB2312"/>
          <w:kern w:val="0"/>
          <w:sz w:val="32"/>
          <w:szCs w:val="32"/>
          <w:u w:val="none" w:color="auto"/>
          <w:lang w:val="en-US" w:eastAsia="zh-CN" w:bidi="ar-SA"/>
        </w:rPr>
      </w:pPr>
      <w:r>
        <w:rPr>
          <w:rFonts w:hint="default" w:ascii="方正仿宋_GB2312" w:hAnsi="方正仿宋_GB2312" w:eastAsia="方正仿宋_GB2312" w:cs="方正仿宋_GB2312"/>
          <w:kern w:val="0"/>
          <w:sz w:val="32"/>
          <w:szCs w:val="32"/>
          <w:u w:val="none" w:color="auto"/>
          <w:lang w:val="en-US" w:eastAsia="zh-CN" w:bidi="ar-SA"/>
        </w:rPr>
        <w:t>（5）社会效益</w:t>
      </w:r>
    </w:p>
    <w:p w14:paraId="22B727BE">
      <w:pPr>
        <w:keepNext w:val="0"/>
        <w:keepLines w:val="0"/>
        <w:pageBreakBefore w:val="0"/>
        <w:kinsoku/>
        <w:wordWrap/>
        <w:overflowPunct/>
        <w:topLinePunct w:val="0"/>
        <w:autoSpaceDE/>
        <w:autoSpaceDN/>
        <w:bidi w:val="0"/>
        <w:adjustRightInd/>
        <w:snapToGrid/>
        <w:spacing w:line="560" w:lineRule="exact"/>
        <w:ind w:firstLine="640"/>
        <w:jc w:val="both"/>
        <w:rPr>
          <w:rFonts w:hint="eastAsia" w:ascii="方正仿宋_GB2312" w:hAnsi="方正仿宋_GB2312" w:eastAsia="方正仿宋_GB2312" w:cs="方正仿宋_GB2312"/>
          <w:kern w:val="0"/>
          <w:sz w:val="32"/>
          <w:szCs w:val="32"/>
          <w:u w:val="none" w:color="auto"/>
          <w:lang w:val="en-US" w:eastAsia="zh-CN" w:bidi="ar-SA"/>
        </w:rPr>
      </w:pPr>
      <w:r>
        <w:rPr>
          <w:rFonts w:hint="default" w:ascii="方正仿宋_GB2312" w:hAnsi="方正仿宋_GB2312" w:eastAsia="方正仿宋_GB2312" w:cs="方正仿宋_GB2312"/>
          <w:kern w:val="0"/>
          <w:sz w:val="32"/>
          <w:szCs w:val="32"/>
          <w:u w:val="none" w:color="auto"/>
          <w:lang w:val="en-US" w:eastAsia="zh-CN" w:bidi="ar-SA"/>
        </w:rPr>
        <w:t>1）重大活动医疗保健水平，目标值有所提高，完成值有所提高，分值15，得分15。</w:t>
      </w:r>
    </w:p>
    <w:p w14:paraId="30487A67">
      <w:pPr>
        <w:keepNext w:val="0"/>
        <w:keepLines w:val="0"/>
        <w:pageBreakBefore w:val="0"/>
        <w:kinsoku/>
        <w:wordWrap/>
        <w:overflowPunct/>
        <w:topLinePunct w:val="0"/>
        <w:autoSpaceDE/>
        <w:autoSpaceDN/>
        <w:bidi w:val="0"/>
        <w:adjustRightInd/>
        <w:snapToGrid/>
        <w:spacing w:line="560" w:lineRule="exact"/>
        <w:ind w:firstLine="640"/>
        <w:jc w:val="both"/>
        <w:rPr>
          <w:rFonts w:hint="eastAsia" w:ascii="方正仿宋_GB2312" w:hAnsi="方正仿宋_GB2312" w:eastAsia="方正仿宋_GB2312" w:cs="方正仿宋_GB2312"/>
          <w:kern w:val="0"/>
          <w:sz w:val="32"/>
          <w:szCs w:val="32"/>
          <w:u w:val="none" w:color="auto"/>
          <w:lang w:val="en-US" w:eastAsia="zh-CN" w:bidi="ar-SA"/>
        </w:rPr>
      </w:pPr>
      <w:r>
        <w:rPr>
          <w:rFonts w:hint="default" w:ascii="方正仿宋_GB2312" w:hAnsi="方正仿宋_GB2312" w:eastAsia="方正仿宋_GB2312" w:cs="方正仿宋_GB2312"/>
          <w:kern w:val="0"/>
          <w:sz w:val="32"/>
          <w:szCs w:val="32"/>
          <w:u w:val="none" w:color="auto"/>
          <w:lang w:val="en-US" w:eastAsia="zh-CN" w:bidi="ar-SA"/>
        </w:rPr>
        <w:t>（6）可持续影响</w:t>
      </w:r>
    </w:p>
    <w:p w14:paraId="5A9E1A9C">
      <w:pPr>
        <w:keepNext w:val="0"/>
        <w:keepLines w:val="0"/>
        <w:pageBreakBefore w:val="0"/>
        <w:kinsoku/>
        <w:wordWrap/>
        <w:overflowPunct/>
        <w:topLinePunct w:val="0"/>
        <w:autoSpaceDE/>
        <w:autoSpaceDN/>
        <w:bidi w:val="0"/>
        <w:adjustRightInd/>
        <w:snapToGrid/>
        <w:spacing w:line="560" w:lineRule="exact"/>
        <w:ind w:firstLine="640"/>
        <w:jc w:val="both"/>
        <w:rPr>
          <w:rFonts w:hint="eastAsia" w:ascii="方正仿宋_GB2312" w:hAnsi="方正仿宋_GB2312" w:eastAsia="方正仿宋_GB2312" w:cs="方正仿宋_GB2312"/>
          <w:kern w:val="0"/>
          <w:sz w:val="32"/>
          <w:szCs w:val="32"/>
          <w:u w:val="none" w:color="auto"/>
          <w:lang w:val="en-US" w:eastAsia="zh-CN" w:bidi="ar-SA"/>
        </w:rPr>
      </w:pPr>
      <w:r>
        <w:rPr>
          <w:rFonts w:hint="default" w:ascii="方正仿宋_GB2312" w:hAnsi="方正仿宋_GB2312" w:eastAsia="方正仿宋_GB2312" w:cs="方正仿宋_GB2312"/>
          <w:kern w:val="0"/>
          <w:sz w:val="32"/>
          <w:szCs w:val="32"/>
          <w:u w:val="none" w:color="auto"/>
          <w:lang w:val="en-US" w:eastAsia="zh-CN" w:bidi="ar-SA"/>
        </w:rPr>
        <w:t>1）项目持续发挥效益，目标值长期，完成值长期，分值15，得分15。</w:t>
      </w:r>
    </w:p>
    <w:p w14:paraId="580B192A">
      <w:pPr>
        <w:keepNext w:val="0"/>
        <w:keepLines w:val="0"/>
        <w:pageBreakBefore w:val="0"/>
        <w:kinsoku/>
        <w:wordWrap/>
        <w:overflowPunct/>
        <w:topLinePunct w:val="0"/>
        <w:autoSpaceDE/>
        <w:autoSpaceDN/>
        <w:bidi w:val="0"/>
        <w:adjustRightInd/>
        <w:snapToGrid/>
        <w:spacing w:line="560" w:lineRule="exact"/>
        <w:ind w:firstLine="640"/>
        <w:jc w:val="both"/>
        <w:rPr>
          <w:rFonts w:hint="eastAsia" w:ascii="方正仿宋_GB2312" w:hAnsi="方正仿宋_GB2312" w:eastAsia="方正仿宋_GB2312" w:cs="方正仿宋_GB2312"/>
          <w:kern w:val="0"/>
          <w:sz w:val="32"/>
          <w:szCs w:val="32"/>
          <w:u w:val="none" w:color="auto"/>
          <w:lang w:val="en-US" w:eastAsia="zh-CN" w:bidi="ar-SA"/>
        </w:rPr>
      </w:pPr>
      <w:r>
        <w:rPr>
          <w:rFonts w:hint="default" w:ascii="方正仿宋_GB2312" w:hAnsi="方正仿宋_GB2312" w:eastAsia="方正仿宋_GB2312" w:cs="方正仿宋_GB2312"/>
          <w:kern w:val="0"/>
          <w:sz w:val="32"/>
          <w:szCs w:val="32"/>
          <w:u w:val="none" w:color="auto"/>
          <w:lang w:val="en-US" w:eastAsia="zh-CN" w:bidi="ar-SA"/>
        </w:rPr>
        <w:t>3.满意度指标完成情况</w:t>
      </w:r>
    </w:p>
    <w:p w14:paraId="2821B0BF">
      <w:pPr>
        <w:keepNext w:val="0"/>
        <w:keepLines w:val="0"/>
        <w:pageBreakBefore w:val="0"/>
        <w:kinsoku/>
        <w:wordWrap/>
        <w:overflowPunct/>
        <w:topLinePunct w:val="0"/>
        <w:autoSpaceDE/>
        <w:autoSpaceDN/>
        <w:bidi w:val="0"/>
        <w:adjustRightInd/>
        <w:snapToGrid/>
        <w:spacing w:line="560" w:lineRule="exact"/>
        <w:ind w:firstLine="640"/>
        <w:jc w:val="both"/>
        <w:rPr>
          <w:rFonts w:hint="eastAsia" w:ascii="方正仿宋_GB2312" w:hAnsi="方正仿宋_GB2312" w:eastAsia="方正仿宋_GB2312" w:cs="方正仿宋_GB2312"/>
          <w:kern w:val="0"/>
          <w:sz w:val="32"/>
          <w:szCs w:val="32"/>
          <w:u w:val="none" w:color="auto"/>
          <w:lang w:val="en-US" w:eastAsia="zh-CN" w:bidi="ar-SA"/>
        </w:rPr>
      </w:pPr>
      <w:r>
        <w:rPr>
          <w:rFonts w:hint="default" w:ascii="方正仿宋_GB2312" w:hAnsi="方正仿宋_GB2312" w:eastAsia="方正仿宋_GB2312" w:cs="方正仿宋_GB2312"/>
          <w:kern w:val="0"/>
          <w:sz w:val="32"/>
          <w:szCs w:val="32"/>
          <w:u w:val="none" w:color="auto"/>
          <w:lang w:val="en-US" w:eastAsia="zh-CN" w:bidi="ar-SA"/>
        </w:rPr>
        <w:t>（7）服务对象满意度</w:t>
      </w:r>
    </w:p>
    <w:p w14:paraId="62D68A76">
      <w:pPr>
        <w:keepNext w:val="0"/>
        <w:keepLines w:val="0"/>
        <w:pageBreakBefore w:val="0"/>
        <w:kinsoku/>
        <w:wordWrap/>
        <w:overflowPunct/>
        <w:topLinePunct w:val="0"/>
        <w:autoSpaceDE/>
        <w:autoSpaceDN/>
        <w:bidi w:val="0"/>
        <w:adjustRightInd/>
        <w:snapToGrid/>
        <w:spacing w:line="560" w:lineRule="exact"/>
        <w:ind w:firstLine="640"/>
        <w:jc w:val="both"/>
        <w:rPr>
          <w:rFonts w:hint="eastAsia" w:ascii="方正仿宋_GB2312" w:hAnsi="方正仿宋_GB2312" w:eastAsia="方正仿宋_GB2312" w:cs="方正仿宋_GB2312"/>
          <w:kern w:val="0"/>
          <w:sz w:val="32"/>
          <w:szCs w:val="32"/>
          <w:u w:val="none" w:color="auto"/>
          <w:lang w:val="en-US" w:eastAsia="zh-CN" w:bidi="ar-SA"/>
        </w:rPr>
      </w:pPr>
      <w:r>
        <w:rPr>
          <w:rFonts w:hint="default" w:ascii="方正仿宋_GB2312" w:hAnsi="方正仿宋_GB2312" w:eastAsia="方正仿宋_GB2312" w:cs="方正仿宋_GB2312"/>
          <w:kern w:val="0"/>
          <w:sz w:val="32"/>
          <w:szCs w:val="32"/>
          <w:u w:val="none" w:color="auto"/>
          <w:lang w:val="en-US" w:eastAsia="zh-CN" w:bidi="ar-SA"/>
        </w:rPr>
        <w:t>1）主管部门满意度(%)，目标值98，完成值100，分值5，得分5。</w:t>
      </w:r>
    </w:p>
    <w:p w14:paraId="13877362">
      <w:pPr>
        <w:keepNext w:val="0"/>
        <w:keepLines w:val="0"/>
        <w:pageBreakBefore w:val="0"/>
        <w:kinsoku/>
        <w:wordWrap/>
        <w:overflowPunct/>
        <w:topLinePunct w:val="0"/>
        <w:autoSpaceDE/>
        <w:autoSpaceDN/>
        <w:bidi w:val="0"/>
        <w:adjustRightInd/>
        <w:snapToGrid/>
        <w:spacing w:line="560" w:lineRule="exact"/>
        <w:ind w:firstLine="640"/>
        <w:jc w:val="both"/>
        <w:rPr>
          <w:rFonts w:hint="eastAsia" w:ascii="方正仿宋_GB2312" w:hAnsi="方正仿宋_GB2312" w:eastAsia="方正仿宋_GB2312" w:cs="方正仿宋_GB2312"/>
          <w:kern w:val="0"/>
          <w:sz w:val="32"/>
          <w:szCs w:val="32"/>
          <w:u w:val="none" w:color="auto"/>
          <w:lang w:val="en-US" w:eastAsia="zh-CN" w:bidi="ar-SA"/>
        </w:rPr>
      </w:pPr>
      <w:r>
        <w:rPr>
          <w:rFonts w:hint="default" w:ascii="方正仿宋_GB2312" w:hAnsi="方正仿宋_GB2312" w:eastAsia="方正仿宋_GB2312" w:cs="方正仿宋_GB2312"/>
          <w:kern w:val="0"/>
          <w:sz w:val="32"/>
          <w:szCs w:val="32"/>
          <w:u w:val="none" w:color="auto"/>
          <w:lang w:val="en-US" w:eastAsia="zh-CN" w:bidi="ar-SA"/>
        </w:rPr>
        <w:t>2）保健对象满意度(%)，目标值100，完成值100，分值5，得分5。</w:t>
      </w:r>
    </w:p>
    <w:p w14:paraId="064EE9E9">
      <w:pPr>
        <w:keepNext w:val="0"/>
        <w:keepLines w:val="0"/>
        <w:pageBreakBefore w:val="0"/>
        <w:kinsoku/>
        <w:wordWrap/>
        <w:overflowPunct/>
        <w:topLinePunct w:val="0"/>
        <w:autoSpaceDE/>
        <w:autoSpaceDN/>
        <w:bidi w:val="0"/>
        <w:adjustRightInd/>
        <w:snapToGrid/>
        <w:spacing w:line="560" w:lineRule="exact"/>
        <w:ind w:firstLine="640"/>
        <w:jc w:val="both"/>
        <w:rPr>
          <w:rFonts w:hint="eastAsia" w:ascii="方正仿宋_GB2312" w:hAnsi="方正仿宋_GB2312" w:eastAsia="方正仿宋_GB2312" w:cs="方正仿宋_GB2312"/>
          <w:kern w:val="0"/>
          <w:sz w:val="32"/>
          <w:szCs w:val="32"/>
          <w:u w:val="none" w:color="auto"/>
          <w:lang w:val="en-US" w:eastAsia="zh-CN" w:bidi="ar-SA"/>
        </w:rPr>
      </w:pPr>
      <w:r>
        <w:rPr>
          <w:rFonts w:hint="default" w:ascii="方正仿宋_GB2312" w:hAnsi="方正仿宋_GB2312" w:eastAsia="方正仿宋_GB2312" w:cs="方正仿宋_GB2312"/>
          <w:kern w:val="0"/>
          <w:sz w:val="32"/>
          <w:szCs w:val="32"/>
          <w:u w:val="none" w:color="auto"/>
          <w:lang w:val="en-US" w:eastAsia="zh-CN" w:bidi="ar-SA"/>
        </w:rPr>
        <w:t>4. 自评得分情况</w:t>
      </w:r>
    </w:p>
    <w:p w14:paraId="13F3F901">
      <w:pPr>
        <w:keepNext w:val="0"/>
        <w:keepLines w:val="0"/>
        <w:pageBreakBefore w:val="0"/>
        <w:kinsoku/>
        <w:wordWrap/>
        <w:overflowPunct/>
        <w:topLinePunct w:val="0"/>
        <w:autoSpaceDE/>
        <w:autoSpaceDN/>
        <w:bidi w:val="0"/>
        <w:adjustRightInd/>
        <w:snapToGrid/>
        <w:spacing w:line="560" w:lineRule="exact"/>
        <w:ind w:firstLine="640"/>
        <w:jc w:val="both"/>
        <w:rPr>
          <w:rFonts w:hint="eastAsia" w:ascii="方正仿宋_GB2312" w:hAnsi="方正仿宋_GB2312" w:eastAsia="方正仿宋_GB2312" w:cs="方正仿宋_GB2312"/>
          <w:kern w:val="0"/>
          <w:sz w:val="32"/>
          <w:szCs w:val="32"/>
          <w:u w:val="none" w:color="auto"/>
          <w:lang w:val="en-US" w:eastAsia="zh-CN" w:bidi="ar-SA"/>
        </w:rPr>
      </w:pPr>
      <w:r>
        <w:rPr>
          <w:rFonts w:hint="default" w:ascii="方正仿宋_GB2312" w:hAnsi="方正仿宋_GB2312" w:eastAsia="方正仿宋_GB2312" w:cs="方正仿宋_GB2312"/>
          <w:kern w:val="0"/>
          <w:sz w:val="32"/>
          <w:szCs w:val="32"/>
          <w:u w:val="none" w:color="auto"/>
          <w:lang w:val="en-US" w:eastAsia="zh-CN" w:bidi="ar-SA"/>
        </w:rPr>
        <w:t>本项目绩效自评得分100分，等级为优。</w:t>
      </w:r>
    </w:p>
    <w:p w14:paraId="4622FBD4">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3" w:firstLineChars="200"/>
        <w:jc w:val="both"/>
        <w:rPr>
          <w:rFonts w:hint="eastAsia" w:ascii="宋体" w:hAnsi="宋体" w:eastAsia="宋体" w:cs="宋体"/>
          <w:i w:val="0"/>
          <w:iCs w:val="0"/>
          <w:caps w:val="0"/>
          <w:color w:val="000000"/>
          <w:spacing w:val="0"/>
          <w:sz w:val="24"/>
          <w:szCs w:val="24"/>
          <w:u w:val="none" w:color="auto"/>
        </w:rPr>
      </w:pPr>
      <w:r>
        <w:rPr>
          <w:rFonts w:hint="eastAsia" w:ascii="宋体" w:hAnsi="宋体" w:cs="宋体"/>
          <w:b/>
          <w:bCs/>
          <w:i w:val="0"/>
          <w:iCs w:val="0"/>
          <w:caps w:val="0"/>
          <w:color w:val="000000"/>
          <w:spacing w:val="0"/>
          <w:sz w:val="32"/>
          <w:szCs w:val="32"/>
          <w:u w:val="none" w:color="auto"/>
          <w:shd w:val="clear" w:fill="FFFFFF"/>
          <w:lang w:val="en-US" w:eastAsia="zh-CN"/>
        </w:rPr>
        <w:t>四、</w:t>
      </w:r>
      <w:r>
        <w:rPr>
          <w:rFonts w:hint="eastAsia" w:ascii="宋体" w:hAnsi="宋体" w:eastAsia="宋体" w:cs="宋体"/>
          <w:b/>
          <w:bCs/>
          <w:i w:val="0"/>
          <w:iCs w:val="0"/>
          <w:caps w:val="0"/>
          <w:color w:val="000000"/>
          <w:spacing w:val="0"/>
          <w:sz w:val="32"/>
          <w:szCs w:val="32"/>
          <w:u w:val="none" w:color="auto"/>
          <w:shd w:val="clear" w:fill="FFFFFF"/>
          <w:lang w:val="en-US"/>
        </w:rPr>
        <w:t>绩效自评结果拟应用和公开情况</w:t>
      </w:r>
    </w:p>
    <w:p w14:paraId="1E0F938F">
      <w:pPr>
        <w:keepNext w:val="0"/>
        <w:keepLines w:val="0"/>
        <w:pageBreakBefore w:val="0"/>
        <w:kinsoku/>
        <w:wordWrap/>
        <w:overflowPunct/>
        <w:topLinePunct w:val="0"/>
        <w:autoSpaceDE/>
        <w:autoSpaceDN/>
        <w:bidi w:val="0"/>
        <w:adjustRightInd/>
        <w:snapToGrid/>
        <w:spacing w:line="560" w:lineRule="exact"/>
        <w:ind w:firstLine="640"/>
        <w:jc w:val="both"/>
        <w:rPr>
          <w:rFonts w:hint="eastAsia" w:ascii="方正仿宋_GB2312" w:hAnsi="方正仿宋_GB2312" w:eastAsia="方正仿宋_GB2312" w:cs="方正仿宋_GB2312"/>
          <w:kern w:val="0"/>
          <w:sz w:val="32"/>
          <w:szCs w:val="32"/>
          <w:u w:val="none" w:color="auto"/>
          <w:lang w:val="en-US" w:eastAsia="zh-CN" w:bidi="ar-SA"/>
        </w:rPr>
      </w:pPr>
      <w:r>
        <w:rPr>
          <w:rFonts w:hint="default" w:ascii="方正仿宋_GB2312" w:hAnsi="方正仿宋_GB2312" w:eastAsia="方正仿宋_GB2312" w:cs="方正仿宋_GB2312"/>
          <w:kern w:val="0"/>
          <w:sz w:val="32"/>
          <w:szCs w:val="32"/>
          <w:u w:val="none" w:color="auto"/>
          <w:lang w:val="en-US" w:eastAsia="zh-CN" w:bidi="ar-SA"/>
        </w:rPr>
        <w:t>绩效自评结果作为下年度预算编制、完善政策和改进管理的重要依据。公开方面，报送财政部门，主动接受监督。</w:t>
      </w:r>
    </w:p>
    <w:p w14:paraId="55F8C246">
      <w:pPr>
        <w:pStyle w:val="3"/>
        <w:keepNext w:val="0"/>
        <w:keepLines w:val="0"/>
        <w:pageBreakBefore w:val="0"/>
        <w:widowControl/>
        <w:kinsoku/>
        <w:wordWrap/>
        <w:overflowPunct/>
        <w:topLinePunct w:val="0"/>
        <w:autoSpaceDE/>
        <w:autoSpaceDN/>
        <w:bidi w:val="0"/>
        <w:adjustRightInd/>
        <w:snapToGrid/>
        <w:spacing w:before="0" w:after="0" w:line="560" w:lineRule="exact"/>
        <w:ind w:left="0" w:right="0"/>
        <w:jc w:val="center"/>
        <w:rPr>
          <w:rFonts w:ascii="Times New Roman" w:hAnsi="Times New Roman" w:eastAsia="Times New Roman" w:cs="Times New Roman"/>
          <w:b/>
          <w:bCs/>
          <w:kern w:val="0"/>
          <w:sz w:val="36"/>
          <w:szCs w:val="36"/>
          <w:u w:val="none" w:color="auto"/>
        </w:rPr>
      </w:pPr>
      <w:r>
        <w:rPr>
          <w:rFonts w:ascii="方正小标宋简体" w:hAnsi="方正小标宋简体" w:eastAsia="方正小标宋简体" w:cs="方正小标宋简体"/>
          <w:kern w:val="0"/>
          <w:sz w:val="36"/>
          <w:szCs w:val="36"/>
          <w:u w:val="none" w:color="auto"/>
        </w:rPr>
        <w:t>第三部分</w:t>
      </w:r>
      <w:r>
        <w:rPr>
          <w:rFonts w:ascii="Times New Roman" w:hAnsi="Times New Roman" w:eastAsia="Times New Roman" w:cs="Times New Roman"/>
          <w:kern w:val="0"/>
          <w:sz w:val="36"/>
          <w:szCs w:val="36"/>
          <w:u w:val="none" w:color="auto"/>
        </w:rPr>
        <w:t> </w:t>
      </w:r>
      <w:r>
        <w:rPr>
          <w:rFonts w:ascii="方正小标宋简体" w:hAnsi="方正小标宋简体" w:eastAsia="方正小标宋简体" w:cs="方正小标宋简体"/>
          <w:b w:val="0"/>
          <w:bCs w:val="0"/>
          <w:kern w:val="0"/>
          <w:sz w:val="36"/>
          <w:szCs w:val="36"/>
          <w:u w:val="none" w:color="auto"/>
        </w:rPr>
        <w:t xml:space="preserve"> </w:t>
      </w:r>
      <w:r>
        <w:rPr>
          <w:rFonts w:ascii="方正小标宋简体" w:hAnsi="方正小标宋简体" w:eastAsia="方正小标宋简体" w:cs="方正小标宋简体"/>
          <w:kern w:val="0"/>
          <w:sz w:val="36"/>
          <w:szCs w:val="36"/>
          <w:u w:val="none" w:color="auto"/>
        </w:rPr>
        <w:t>名词解释</w:t>
      </w:r>
    </w:p>
    <w:p w14:paraId="71564420">
      <w:pPr>
        <w:pStyle w:val="29"/>
        <w:keepNext w:val="0"/>
        <w:keepLines w:val="0"/>
        <w:pageBreakBefore w:val="0"/>
        <w:widowControl/>
        <w:kinsoku/>
        <w:wordWrap/>
        <w:overflowPunct/>
        <w:topLinePunct w:val="0"/>
        <w:autoSpaceDE/>
        <w:autoSpaceDN/>
        <w:bidi w:val="0"/>
        <w:adjustRightInd/>
        <w:snapToGrid/>
        <w:spacing w:line="560" w:lineRule="exact"/>
        <w:ind w:firstLine="643"/>
        <w:jc w:val="left"/>
        <w:rPr>
          <w:rFonts w:ascii="Times New Roman" w:hAnsi="Times New Roman" w:eastAsia="Times New Roman" w:cs="Times New Roman"/>
          <w:kern w:val="0"/>
          <w:sz w:val="24"/>
          <w:u w:val="none" w:color="auto"/>
        </w:rPr>
      </w:pPr>
      <w:r>
        <w:rPr>
          <w:rFonts w:ascii="FangSong_GB2312" w:hAnsi="FangSong_GB2312" w:eastAsia="FangSong_GB2312" w:cs="FangSong_GB2312"/>
          <w:b/>
          <w:bCs/>
          <w:kern w:val="0"/>
          <w:sz w:val="32"/>
          <w:szCs w:val="32"/>
          <w:u w:val="none" w:color="auto"/>
        </w:rPr>
        <w:t>一、财政拨款收入：</w:t>
      </w:r>
      <w:r>
        <w:rPr>
          <w:rFonts w:ascii="FangSong_GB2312" w:hAnsi="FangSong_GB2312" w:eastAsia="FangSong_GB2312" w:cs="FangSong_GB2312"/>
          <w:kern w:val="0"/>
          <w:sz w:val="32"/>
          <w:szCs w:val="32"/>
          <w:u w:val="none" w:color="auto"/>
        </w:rPr>
        <w:t>从同级财政部门取得的各类财政拨款，包括一般公共预算财政拨款、政府性基金预算财政拨款、国有资本经营预算财政拨款。</w:t>
      </w:r>
    </w:p>
    <w:p w14:paraId="02872603">
      <w:pPr>
        <w:pStyle w:val="29"/>
        <w:keepNext w:val="0"/>
        <w:keepLines w:val="0"/>
        <w:pageBreakBefore w:val="0"/>
        <w:widowControl/>
        <w:kinsoku/>
        <w:wordWrap/>
        <w:overflowPunct/>
        <w:topLinePunct w:val="0"/>
        <w:autoSpaceDE/>
        <w:autoSpaceDN/>
        <w:bidi w:val="0"/>
        <w:adjustRightInd/>
        <w:snapToGrid/>
        <w:spacing w:line="560" w:lineRule="exact"/>
        <w:ind w:firstLine="643"/>
        <w:jc w:val="left"/>
        <w:rPr>
          <w:rFonts w:ascii="Times New Roman" w:hAnsi="Times New Roman" w:eastAsia="Times New Roman" w:cs="Times New Roman"/>
          <w:kern w:val="0"/>
          <w:sz w:val="24"/>
          <w:u w:val="none" w:color="auto"/>
        </w:rPr>
      </w:pPr>
      <w:r>
        <w:rPr>
          <w:rFonts w:ascii="FangSong_GB2312" w:hAnsi="FangSong_GB2312" w:eastAsia="FangSong_GB2312" w:cs="FangSong_GB2312"/>
          <w:b/>
          <w:bCs/>
          <w:kern w:val="0"/>
          <w:sz w:val="32"/>
          <w:szCs w:val="32"/>
          <w:u w:val="none" w:color="auto"/>
        </w:rPr>
        <w:t>二、上级补助收入：</w:t>
      </w:r>
      <w:r>
        <w:rPr>
          <w:rFonts w:ascii="FangSong_GB2312" w:hAnsi="FangSong_GB2312" w:eastAsia="FangSong_GB2312" w:cs="FangSong_GB2312"/>
          <w:kern w:val="0"/>
          <w:sz w:val="32"/>
          <w:szCs w:val="32"/>
          <w:u w:val="none" w:color="auto"/>
        </w:rPr>
        <w:t>指事业单位从主管部门和上级单位取得的非财政补助收入。</w:t>
      </w:r>
    </w:p>
    <w:p w14:paraId="74739918">
      <w:pPr>
        <w:pStyle w:val="29"/>
        <w:keepNext w:val="0"/>
        <w:keepLines w:val="0"/>
        <w:pageBreakBefore w:val="0"/>
        <w:widowControl/>
        <w:kinsoku/>
        <w:wordWrap/>
        <w:overflowPunct/>
        <w:topLinePunct w:val="0"/>
        <w:autoSpaceDE/>
        <w:autoSpaceDN/>
        <w:bidi w:val="0"/>
        <w:adjustRightInd/>
        <w:snapToGrid/>
        <w:spacing w:line="560" w:lineRule="exact"/>
        <w:ind w:firstLine="643"/>
        <w:jc w:val="left"/>
        <w:rPr>
          <w:rFonts w:ascii="Times New Roman" w:hAnsi="Times New Roman" w:eastAsia="Times New Roman" w:cs="Times New Roman"/>
          <w:kern w:val="0"/>
          <w:sz w:val="24"/>
          <w:u w:val="none" w:color="auto"/>
        </w:rPr>
      </w:pPr>
      <w:r>
        <w:rPr>
          <w:rFonts w:ascii="FangSong_GB2312" w:hAnsi="FangSong_GB2312" w:eastAsia="FangSong_GB2312" w:cs="FangSong_GB2312"/>
          <w:b/>
          <w:bCs/>
          <w:kern w:val="0"/>
          <w:sz w:val="32"/>
          <w:szCs w:val="32"/>
          <w:u w:val="none" w:color="auto"/>
        </w:rPr>
        <w:t>三、事业收入：</w:t>
      </w:r>
      <w:r>
        <w:rPr>
          <w:rFonts w:ascii="FangSong_GB2312" w:hAnsi="FangSong_GB2312" w:eastAsia="FangSong_GB2312" w:cs="FangSong_GB2312"/>
          <w:kern w:val="0"/>
          <w:sz w:val="32"/>
          <w:szCs w:val="32"/>
          <w:u w:val="none" w:color="auto"/>
        </w:rPr>
        <w:t>指事业单位开展专业业务活动及其辅助活动取得的收入。</w:t>
      </w:r>
    </w:p>
    <w:p w14:paraId="5DF7FAD1">
      <w:pPr>
        <w:pStyle w:val="29"/>
        <w:keepNext w:val="0"/>
        <w:keepLines w:val="0"/>
        <w:pageBreakBefore w:val="0"/>
        <w:widowControl/>
        <w:kinsoku/>
        <w:wordWrap/>
        <w:overflowPunct/>
        <w:topLinePunct w:val="0"/>
        <w:autoSpaceDE/>
        <w:autoSpaceDN/>
        <w:bidi w:val="0"/>
        <w:adjustRightInd/>
        <w:snapToGrid/>
        <w:spacing w:line="560" w:lineRule="exact"/>
        <w:ind w:firstLine="643"/>
        <w:jc w:val="left"/>
        <w:rPr>
          <w:rFonts w:ascii="Times New Roman" w:hAnsi="Times New Roman" w:eastAsia="Times New Roman" w:cs="Times New Roman"/>
          <w:kern w:val="0"/>
          <w:sz w:val="24"/>
          <w:u w:val="none" w:color="auto"/>
        </w:rPr>
      </w:pPr>
      <w:r>
        <w:rPr>
          <w:rFonts w:ascii="FangSong_GB2312" w:hAnsi="FangSong_GB2312" w:eastAsia="FangSong_GB2312" w:cs="FangSong_GB2312"/>
          <w:b/>
          <w:bCs/>
          <w:kern w:val="0"/>
          <w:sz w:val="32"/>
          <w:szCs w:val="32"/>
          <w:u w:val="none" w:color="auto"/>
        </w:rPr>
        <w:t>四、经营收入：</w:t>
      </w:r>
      <w:r>
        <w:rPr>
          <w:rFonts w:ascii="FangSong_GB2312" w:hAnsi="FangSong_GB2312" w:eastAsia="FangSong_GB2312" w:cs="FangSong_GB2312"/>
          <w:kern w:val="0"/>
          <w:sz w:val="32"/>
          <w:szCs w:val="32"/>
          <w:u w:val="none" w:color="auto"/>
        </w:rPr>
        <w:t>指事业单位在专业业务活动及其辅助活动之外开展非独立核算经营活动取得的收入。</w:t>
      </w:r>
    </w:p>
    <w:p w14:paraId="4999462F">
      <w:pPr>
        <w:pStyle w:val="29"/>
        <w:keepNext w:val="0"/>
        <w:keepLines w:val="0"/>
        <w:pageBreakBefore w:val="0"/>
        <w:widowControl/>
        <w:kinsoku/>
        <w:wordWrap/>
        <w:overflowPunct/>
        <w:topLinePunct w:val="0"/>
        <w:autoSpaceDE/>
        <w:autoSpaceDN/>
        <w:bidi w:val="0"/>
        <w:adjustRightInd/>
        <w:snapToGrid/>
        <w:spacing w:line="560" w:lineRule="exact"/>
        <w:ind w:firstLine="643"/>
        <w:jc w:val="left"/>
        <w:rPr>
          <w:rFonts w:ascii="Times New Roman" w:hAnsi="Times New Roman" w:eastAsia="Times New Roman" w:cs="Times New Roman"/>
          <w:kern w:val="0"/>
          <w:sz w:val="24"/>
          <w:u w:val="none" w:color="auto"/>
        </w:rPr>
      </w:pPr>
      <w:r>
        <w:rPr>
          <w:rFonts w:ascii="FangSong_GB2312" w:hAnsi="FangSong_GB2312" w:eastAsia="FangSong_GB2312" w:cs="FangSong_GB2312"/>
          <w:b/>
          <w:bCs/>
          <w:kern w:val="0"/>
          <w:sz w:val="32"/>
          <w:szCs w:val="32"/>
          <w:u w:val="none" w:color="auto"/>
        </w:rPr>
        <w:t>五、附属单位上缴收入：</w:t>
      </w:r>
      <w:r>
        <w:rPr>
          <w:rFonts w:ascii="FangSong_GB2312" w:hAnsi="FangSong_GB2312" w:eastAsia="FangSong_GB2312" w:cs="FangSong_GB2312"/>
          <w:kern w:val="0"/>
          <w:sz w:val="32"/>
          <w:szCs w:val="32"/>
          <w:u w:val="none" w:color="auto"/>
        </w:rPr>
        <w:t>指事业单位取得附属独立核算单位按照有关规定上缴的收入。</w:t>
      </w:r>
    </w:p>
    <w:p w14:paraId="648B3BA1">
      <w:pPr>
        <w:pStyle w:val="29"/>
        <w:keepNext w:val="0"/>
        <w:keepLines w:val="0"/>
        <w:pageBreakBefore w:val="0"/>
        <w:widowControl/>
        <w:kinsoku/>
        <w:wordWrap/>
        <w:overflowPunct/>
        <w:topLinePunct w:val="0"/>
        <w:autoSpaceDE/>
        <w:autoSpaceDN/>
        <w:bidi w:val="0"/>
        <w:adjustRightInd/>
        <w:snapToGrid/>
        <w:spacing w:line="560" w:lineRule="exact"/>
        <w:ind w:firstLine="643"/>
        <w:jc w:val="left"/>
        <w:rPr>
          <w:rFonts w:ascii="Times New Roman" w:hAnsi="Times New Roman" w:eastAsia="Times New Roman" w:cs="Times New Roman"/>
          <w:kern w:val="0"/>
          <w:sz w:val="24"/>
          <w:u w:val="none" w:color="auto"/>
        </w:rPr>
      </w:pPr>
      <w:r>
        <w:rPr>
          <w:rFonts w:ascii="FangSong_GB2312" w:hAnsi="FangSong_GB2312" w:eastAsia="FangSong_GB2312" w:cs="FangSong_GB2312"/>
          <w:b/>
          <w:bCs/>
          <w:kern w:val="0"/>
          <w:sz w:val="32"/>
          <w:szCs w:val="32"/>
          <w:u w:val="none" w:color="auto"/>
        </w:rPr>
        <w:t>六、其他收入：</w:t>
      </w:r>
      <w:r>
        <w:rPr>
          <w:rFonts w:ascii="FangSong_GB2312" w:hAnsi="FangSong_GB2312" w:eastAsia="FangSong_GB2312" w:cs="FangSong_GB2312"/>
          <w:kern w:val="0"/>
          <w:sz w:val="32"/>
          <w:szCs w:val="32"/>
          <w:u w:val="none" w:color="auto"/>
        </w:rPr>
        <w:t>取得的除上述财政拨款收入、上级补助收入、事业收入、经营收入、附属单位上缴收入等以外的各项收入。</w:t>
      </w:r>
    </w:p>
    <w:p w14:paraId="38E41935">
      <w:pPr>
        <w:pStyle w:val="29"/>
        <w:keepNext w:val="0"/>
        <w:keepLines w:val="0"/>
        <w:pageBreakBefore w:val="0"/>
        <w:widowControl/>
        <w:kinsoku/>
        <w:wordWrap/>
        <w:overflowPunct/>
        <w:topLinePunct w:val="0"/>
        <w:autoSpaceDE/>
        <w:autoSpaceDN/>
        <w:bidi w:val="0"/>
        <w:adjustRightInd/>
        <w:snapToGrid/>
        <w:spacing w:line="560" w:lineRule="exact"/>
        <w:ind w:firstLine="643"/>
        <w:jc w:val="left"/>
        <w:rPr>
          <w:rFonts w:ascii="Times New Roman" w:hAnsi="Times New Roman" w:eastAsia="Times New Roman" w:cs="Times New Roman"/>
          <w:kern w:val="0"/>
          <w:sz w:val="24"/>
          <w:u w:val="none" w:color="auto"/>
        </w:rPr>
      </w:pPr>
      <w:r>
        <w:rPr>
          <w:rFonts w:ascii="FangSong_GB2312" w:hAnsi="FangSong_GB2312" w:eastAsia="FangSong_GB2312" w:cs="FangSong_GB2312"/>
          <w:b/>
          <w:bCs/>
          <w:kern w:val="0"/>
          <w:sz w:val="32"/>
          <w:szCs w:val="32"/>
          <w:u w:val="none" w:color="auto"/>
        </w:rPr>
        <w:t>七、使用非财政拨款结余（含专用结余）：</w:t>
      </w:r>
      <w:r>
        <w:rPr>
          <w:rFonts w:ascii="FangSong_GB2312" w:hAnsi="FangSong_GB2312" w:eastAsia="FangSong_GB2312" w:cs="FangSong_GB2312"/>
          <w:kern w:val="0"/>
          <w:sz w:val="32"/>
          <w:szCs w:val="32"/>
          <w:u w:val="none" w:color="auto"/>
        </w:rPr>
        <w:t>指事业单位按照预算管理要求使用非财政拨款结余弥补收支差额的金额，以及使用专用结余安排支出的金额。</w:t>
      </w:r>
    </w:p>
    <w:p w14:paraId="3FBCC5B4">
      <w:pPr>
        <w:pStyle w:val="29"/>
        <w:keepNext w:val="0"/>
        <w:keepLines w:val="0"/>
        <w:pageBreakBefore w:val="0"/>
        <w:widowControl/>
        <w:kinsoku/>
        <w:wordWrap/>
        <w:overflowPunct/>
        <w:topLinePunct w:val="0"/>
        <w:autoSpaceDE/>
        <w:autoSpaceDN/>
        <w:bidi w:val="0"/>
        <w:adjustRightInd/>
        <w:snapToGrid/>
        <w:spacing w:line="560" w:lineRule="exact"/>
        <w:ind w:firstLine="643"/>
        <w:jc w:val="left"/>
        <w:rPr>
          <w:rFonts w:ascii="Times New Roman" w:hAnsi="Times New Roman" w:eastAsia="Times New Roman" w:cs="Times New Roman"/>
          <w:kern w:val="0"/>
          <w:sz w:val="24"/>
          <w:u w:val="none" w:color="auto"/>
        </w:rPr>
      </w:pPr>
      <w:r>
        <w:rPr>
          <w:rFonts w:ascii="FangSong_GB2312" w:hAnsi="FangSong_GB2312" w:eastAsia="FangSong_GB2312" w:cs="FangSong_GB2312"/>
          <w:b/>
          <w:bCs/>
          <w:kern w:val="0"/>
          <w:sz w:val="32"/>
          <w:szCs w:val="32"/>
          <w:u w:val="none" w:color="auto"/>
        </w:rPr>
        <w:t>八、年初结转和结余：</w:t>
      </w:r>
      <w:r>
        <w:rPr>
          <w:rFonts w:ascii="FangSong_GB2312" w:hAnsi="FangSong_GB2312" w:eastAsia="FangSong_GB2312" w:cs="FangSong_GB2312"/>
          <w:kern w:val="0"/>
          <w:sz w:val="32"/>
          <w:szCs w:val="32"/>
          <w:u w:val="none" w:color="auto"/>
        </w:rPr>
        <w:t>指单位上年结转本年使用的基本支出结转、项目支出结转和结余、经营结余。</w:t>
      </w:r>
    </w:p>
    <w:p w14:paraId="710EB4BD">
      <w:pPr>
        <w:pStyle w:val="29"/>
        <w:keepNext w:val="0"/>
        <w:keepLines w:val="0"/>
        <w:pageBreakBefore w:val="0"/>
        <w:widowControl/>
        <w:kinsoku/>
        <w:wordWrap/>
        <w:overflowPunct/>
        <w:topLinePunct w:val="0"/>
        <w:autoSpaceDE/>
        <w:autoSpaceDN/>
        <w:bidi w:val="0"/>
        <w:adjustRightInd/>
        <w:snapToGrid/>
        <w:spacing w:line="560" w:lineRule="exact"/>
        <w:ind w:firstLine="643"/>
        <w:jc w:val="left"/>
        <w:rPr>
          <w:rFonts w:ascii="Times New Roman" w:hAnsi="Times New Roman" w:eastAsia="Times New Roman" w:cs="Times New Roman"/>
          <w:kern w:val="0"/>
          <w:sz w:val="24"/>
          <w:u w:val="none" w:color="auto"/>
        </w:rPr>
      </w:pPr>
      <w:r>
        <w:rPr>
          <w:rFonts w:ascii="FangSong_GB2312" w:hAnsi="FangSong_GB2312" w:eastAsia="FangSong_GB2312" w:cs="FangSong_GB2312"/>
          <w:b/>
          <w:bCs/>
          <w:kern w:val="0"/>
          <w:sz w:val="32"/>
          <w:szCs w:val="32"/>
          <w:u w:val="none" w:color="auto"/>
        </w:rPr>
        <w:t>九、结余分配：</w:t>
      </w:r>
      <w:r>
        <w:rPr>
          <w:rFonts w:ascii="FangSong_GB2312" w:hAnsi="FangSong_GB2312" w:eastAsia="FangSong_GB2312" w:cs="FangSong_GB2312"/>
          <w:kern w:val="0"/>
          <w:sz w:val="32"/>
          <w:szCs w:val="32"/>
          <w:u w:val="none" w:color="auto"/>
        </w:rPr>
        <w:t>指单位按规定缴纳企业所得税以及从非财政拨款结余或经营结余中提取各类结余的情况。</w:t>
      </w:r>
    </w:p>
    <w:p w14:paraId="7FF02EE8">
      <w:pPr>
        <w:pStyle w:val="29"/>
        <w:keepNext w:val="0"/>
        <w:keepLines w:val="0"/>
        <w:pageBreakBefore w:val="0"/>
        <w:widowControl/>
        <w:kinsoku/>
        <w:wordWrap/>
        <w:overflowPunct/>
        <w:topLinePunct w:val="0"/>
        <w:autoSpaceDE/>
        <w:autoSpaceDN/>
        <w:bidi w:val="0"/>
        <w:adjustRightInd/>
        <w:snapToGrid/>
        <w:spacing w:line="560" w:lineRule="exact"/>
        <w:ind w:firstLine="643"/>
        <w:jc w:val="left"/>
        <w:rPr>
          <w:rFonts w:ascii="Times New Roman" w:hAnsi="Times New Roman" w:eastAsia="Times New Roman" w:cs="Times New Roman"/>
          <w:kern w:val="0"/>
          <w:sz w:val="24"/>
          <w:u w:val="none" w:color="auto"/>
        </w:rPr>
      </w:pPr>
      <w:r>
        <w:rPr>
          <w:rFonts w:ascii="FangSong_GB2312" w:hAnsi="FangSong_GB2312" w:eastAsia="FangSong_GB2312" w:cs="FangSong_GB2312"/>
          <w:b/>
          <w:bCs/>
          <w:kern w:val="0"/>
          <w:sz w:val="32"/>
          <w:szCs w:val="32"/>
          <w:u w:val="none" w:color="auto"/>
        </w:rPr>
        <w:t>十、年末结转和结余资金：</w:t>
      </w:r>
      <w:r>
        <w:rPr>
          <w:rFonts w:ascii="FangSong_GB2312" w:hAnsi="FangSong_GB2312" w:eastAsia="FangSong_GB2312" w:cs="FangSong_GB2312"/>
          <w:kern w:val="0"/>
          <w:sz w:val="32"/>
          <w:szCs w:val="32"/>
          <w:u w:val="none" w:color="auto"/>
        </w:rPr>
        <w:t>指单位结转下年的基本支出结转、项目支出结转和结余、经营结余。</w:t>
      </w:r>
    </w:p>
    <w:p w14:paraId="51CD736E">
      <w:pPr>
        <w:pStyle w:val="29"/>
        <w:keepNext w:val="0"/>
        <w:keepLines w:val="0"/>
        <w:pageBreakBefore w:val="0"/>
        <w:widowControl/>
        <w:kinsoku/>
        <w:wordWrap/>
        <w:overflowPunct/>
        <w:topLinePunct w:val="0"/>
        <w:autoSpaceDE/>
        <w:autoSpaceDN/>
        <w:bidi w:val="0"/>
        <w:adjustRightInd/>
        <w:snapToGrid/>
        <w:spacing w:line="560" w:lineRule="exact"/>
        <w:ind w:firstLine="643"/>
        <w:jc w:val="left"/>
        <w:rPr>
          <w:rFonts w:ascii="Times New Roman" w:hAnsi="Times New Roman" w:eastAsia="Times New Roman" w:cs="Times New Roman"/>
          <w:kern w:val="0"/>
          <w:sz w:val="24"/>
          <w:u w:val="none" w:color="auto"/>
        </w:rPr>
      </w:pPr>
      <w:r>
        <w:rPr>
          <w:rFonts w:ascii="FangSong_GB2312" w:hAnsi="FangSong_GB2312" w:eastAsia="FangSong_GB2312" w:cs="FangSong_GB2312"/>
          <w:b/>
          <w:bCs/>
          <w:kern w:val="0"/>
          <w:sz w:val="32"/>
          <w:szCs w:val="32"/>
          <w:u w:val="none" w:color="auto"/>
        </w:rPr>
        <w:t>十一、基本支出：</w:t>
      </w:r>
      <w:r>
        <w:rPr>
          <w:rFonts w:ascii="FangSong_GB2312" w:hAnsi="FangSong_GB2312" w:eastAsia="FangSong_GB2312" w:cs="FangSong_GB2312"/>
          <w:kern w:val="0"/>
          <w:sz w:val="32"/>
          <w:szCs w:val="32"/>
          <w:u w:val="none" w:color="auto"/>
        </w:rPr>
        <w:t>指为保障机构正常运转、完成日常工作任务所发生的支出，包括人员经费和公用经费。</w:t>
      </w:r>
    </w:p>
    <w:p w14:paraId="19040A52">
      <w:pPr>
        <w:pStyle w:val="29"/>
        <w:keepNext w:val="0"/>
        <w:keepLines w:val="0"/>
        <w:pageBreakBefore w:val="0"/>
        <w:widowControl/>
        <w:kinsoku/>
        <w:wordWrap/>
        <w:overflowPunct/>
        <w:topLinePunct w:val="0"/>
        <w:autoSpaceDE/>
        <w:autoSpaceDN/>
        <w:bidi w:val="0"/>
        <w:adjustRightInd/>
        <w:snapToGrid/>
        <w:spacing w:line="560" w:lineRule="exact"/>
        <w:ind w:firstLine="643"/>
        <w:jc w:val="left"/>
        <w:rPr>
          <w:rFonts w:ascii="Times New Roman" w:hAnsi="Times New Roman" w:eastAsia="Times New Roman" w:cs="Times New Roman"/>
          <w:kern w:val="0"/>
          <w:sz w:val="24"/>
          <w:u w:val="none" w:color="auto"/>
        </w:rPr>
      </w:pPr>
      <w:r>
        <w:rPr>
          <w:rFonts w:ascii="FangSong_GB2312" w:hAnsi="FangSong_GB2312" w:eastAsia="FangSong_GB2312" w:cs="FangSong_GB2312"/>
          <w:b/>
          <w:bCs/>
          <w:color w:val="000000"/>
          <w:kern w:val="0"/>
          <w:sz w:val="32"/>
          <w:szCs w:val="32"/>
          <w:u w:val="none" w:color="auto"/>
        </w:rPr>
        <w:t>十二、项目支出：</w:t>
      </w:r>
      <w:r>
        <w:rPr>
          <w:rFonts w:ascii="FangSong_GB2312" w:hAnsi="FangSong_GB2312" w:eastAsia="FangSong_GB2312" w:cs="FangSong_GB2312"/>
          <w:color w:val="000000"/>
          <w:kern w:val="0"/>
          <w:sz w:val="32"/>
          <w:szCs w:val="32"/>
          <w:u w:val="none" w:color="auto"/>
        </w:rPr>
        <w:t>指单位为完成特定的行政工作任务或事业发展目标，在基本支出之外发生的各项支出。</w:t>
      </w:r>
    </w:p>
    <w:p w14:paraId="413B531E">
      <w:pPr>
        <w:pStyle w:val="29"/>
        <w:keepNext w:val="0"/>
        <w:keepLines w:val="0"/>
        <w:pageBreakBefore w:val="0"/>
        <w:widowControl/>
        <w:kinsoku/>
        <w:wordWrap/>
        <w:overflowPunct/>
        <w:topLinePunct w:val="0"/>
        <w:autoSpaceDE/>
        <w:autoSpaceDN/>
        <w:bidi w:val="0"/>
        <w:adjustRightInd/>
        <w:snapToGrid/>
        <w:spacing w:line="560" w:lineRule="exact"/>
        <w:ind w:firstLine="643"/>
        <w:jc w:val="left"/>
        <w:rPr>
          <w:rFonts w:ascii="Times New Roman" w:hAnsi="Times New Roman" w:eastAsia="Times New Roman" w:cs="Times New Roman"/>
          <w:kern w:val="0"/>
          <w:sz w:val="24"/>
          <w:u w:val="none" w:color="auto"/>
        </w:rPr>
      </w:pPr>
      <w:r>
        <w:rPr>
          <w:rFonts w:ascii="FangSong_GB2312" w:hAnsi="FangSong_GB2312" w:eastAsia="FangSong_GB2312" w:cs="FangSong_GB2312"/>
          <w:b/>
          <w:bCs/>
          <w:kern w:val="0"/>
          <w:sz w:val="32"/>
          <w:szCs w:val="32"/>
          <w:u w:val="none" w:color="auto"/>
        </w:rPr>
        <w:t>十三、上缴上级支出：</w:t>
      </w:r>
      <w:r>
        <w:rPr>
          <w:rFonts w:ascii="FangSong_GB2312" w:hAnsi="FangSong_GB2312" w:eastAsia="FangSong_GB2312" w:cs="FangSong_GB2312"/>
          <w:kern w:val="0"/>
          <w:sz w:val="32"/>
          <w:szCs w:val="32"/>
          <w:u w:val="none" w:color="auto"/>
        </w:rPr>
        <w:t>指事业单位按照财政部门和主管部门的规定上缴上级单位的支出。</w:t>
      </w:r>
    </w:p>
    <w:p w14:paraId="2956956B">
      <w:pPr>
        <w:pStyle w:val="29"/>
        <w:keepNext w:val="0"/>
        <w:keepLines w:val="0"/>
        <w:pageBreakBefore w:val="0"/>
        <w:widowControl/>
        <w:kinsoku/>
        <w:wordWrap/>
        <w:overflowPunct/>
        <w:topLinePunct w:val="0"/>
        <w:autoSpaceDE/>
        <w:autoSpaceDN/>
        <w:bidi w:val="0"/>
        <w:adjustRightInd/>
        <w:snapToGrid/>
        <w:spacing w:line="560" w:lineRule="exact"/>
        <w:ind w:firstLine="643"/>
        <w:jc w:val="left"/>
        <w:rPr>
          <w:rFonts w:ascii="Times New Roman" w:hAnsi="Times New Roman" w:eastAsia="Times New Roman" w:cs="Times New Roman"/>
          <w:kern w:val="0"/>
          <w:sz w:val="24"/>
          <w:u w:val="none" w:color="auto"/>
        </w:rPr>
      </w:pPr>
      <w:r>
        <w:rPr>
          <w:rFonts w:ascii="FangSong_GB2312" w:hAnsi="FangSong_GB2312" w:eastAsia="FangSong_GB2312" w:cs="FangSong_GB2312"/>
          <w:b/>
          <w:bCs/>
          <w:kern w:val="0"/>
          <w:sz w:val="32"/>
          <w:szCs w:val="32"/>
          <w:u w:val="none" w:color="auto"/>
        </w:rPr>
        <w:t>十四、经营支出：</w:t>
      </w:r>
      <w:r>
        <w:rPr>
          <w:rFonts w:ascii="FangSong_GB2312" w:hAnsi="FangSong_GB2312" w:eastAsia="FangSong_GB2312" w:cs="FangSong_GB2312"/>
          <w:kern w:val="0"/>
          <w:sz w:val="32"/>
          <w:szCs w:val="32"/>
          <w:u w:val="none" w:color="auto"/>
        </w:rPr>
        <w:t>指事业单位在专业业务活动及其辅助活动之外开展非独立核算经营活动发生的支出。</w:t>
      </w:r>
    </w:p>
    <w:p w14:paraId="6E00810B">
      <w:pPr>
        <w:pStyle w:val="29"/>
        <w:keepNext w:val="0"/>
        <w:keepLines w:val="0"/>
        <w:pageBreakBefore w:val="0"/>
        <w:widowControl/>
        <w:kinsoku/>
        <w:wordWrap/>
        <w:overflowPunct/>
        <w:topLinePunct w:val="0"/>
        <w:autoSpaceDE/>
        <w:autoSpaceDN/>
        <w:bidi w:val="0"/>
        <w:adjustRightInd/>
        <w:snapToGrid/>
        <w:spacing w:line="560" w:lineRule="exact"/>
        <w:ind w:firstLine="643"/>
        <w:jc w:val="left"/>
        <w:rPr>
          <w:rFonts w:ascii="Times New Roman" w:hAnsi="Times New Roman" w:eastAsia="Times New Roman" w:cs="Times New Roman"/>
          <w:kern w:val="0"/>
          <w:sz w:val="24"/>
          <w:u w:val="none" w:color="auto"/>
        </w:rPr>
      </w:pPr>
      <w:r>
        <w:rPr>
          <w:rFonts w:ascii="FangSong_GB2312" w:hAnsi="FangSong_GB2312" w:eastAsia="FangSong_GB2312" w:cs="FangSong_GB2312"/>
          <w:b/>
          <w:bCs/>
          <w:kern w:val="0"/>
          <w:sz w:val="32"/>
          <w:szCs w:val="32"/>
          <w:u w:val="none" w:color="auto"/>
        </w:rPr>
        <w:t>十五、对附属单位补助支出：</w:t>
      </w:r>
      <w:r>
        <w:rPr>
          <w:rFonts w:ascii="FangSong_GB2312" w:hAnsi="FangSong_GB2312" w:eastAsia="FangSong_GB2312" w:cs="FangSong_GB2312"/>
          <w:kern w:val="0"/>
          <w:sz w:val="32"/>
          <w:szCs w:val="32"/>
          <w:u w:val="none" w:color="auto"/>
        </w:rPr>
        <w:t>指事业单位用财政拨款收入之外的收入对附属单位补助发生的支出。</w:t>
      </w:r>
    </w:p>
    <w:p w14:paraId="5245B1F5">
      <w:pPr>
        <w:pStyle w:val="29"/>
        <w:keepNext w:val="0"/>
        <w:keepLines w:val="0"/>
        <w:pageBreakBefore w:val="0"/>
        <w:widowControl/>
        <w:kinsoku/>
        <w:wordWrap/>
        <w:overflowPunct/>
        <w:topLinePunct w:val="0"/>
        <w:autoSpaceDE/>
        <w:autoSpaceDN/>
        <w:bidi w:val="0"/>
        <w:adjustRightInd/>
        <w:snapToGrid/>
        <w:spacing w:line="560" w:lineRule="exact"/>
        <w:ind w:firstLine="643"/>
        <w:jc w:val="left"/>
        <w:rPr>
          <w:rFonts w:ascii="Times New Roman" w:hAnsi="Times New Roman" w:eastAsia="Times New Roman" w:cs="Times New Roman"/>
          <w:kern w:val="0"/>
          <w:sz w:val="24"/>
          <w:u w:val="none" w:color="auto"/>
        </w:rPr>
      </w:pPr>
      <w:r>
        <w:rPr>
          <w:rFonts w:ascii="FangSong_GB2312" w:hAnsi="FangSong_GB2312" w:eastAsia="FangSong_GB2312" w:cs="FangSong_GB2312"/>
          <w:b/>
          <w:bCs/>
          <w:kern w:val="0"/>
          <w:sz w:val="32"/>
          <w:szCs w:val="32"/>
          <w:u w:val="none" w:color="auto"/>
        </w:rPr>
        <w:t>十六、“三公”经费：</w:t>
      </w:r>
      <w:r>
        <w:rPr>
          <w:rFonts w:ascii="FangSong_GB2312" w:hAnsi="FangSong_GB2312" w:eastAsia="FangSong_GB2312" w:cs="FangSong_GB2312"/>
          <w:kern w:val="0"/>
          <w:sz w:val="32"/>
          <w:szCs w:val="32"/>
          <w:u w:val="none" w:color="auto"/>
        </w:rPr>
        <w:t>指单位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w:t>
      </w:r>
      <w:r>
        <w:rPr>
          <w:rFonts w:ascii="FangSong_GB2312" w:hAnsi="FangSong_GB2312" w:eastAsia="FangSong_GB2312" w:cs="FangSong_GB2312"/>
          <w:color w:val="000000"/>
          <w:kern w:val="0"/>
          <w:sz w:val="32"/>
          <w:szCs w:val="32"/>
          <w:u w:val="none" w:color="auto"/>
        </w:rPr>
        <w:t>新能源汽车充电费、</w:t>
      </w:r>
      <w:r>
        <w:rPr>
          <w:rFonts w:ascii="FangSong_GB2312" w:hAnsi="FangSong_GB2312" w:eastAsia="FangSong_GB2312" w:cs="FangSong_GB2312"/>
          <w:kern w:val="0"/>
          <w:sz w:val="32"/>
          <w:szCs w:val="32"/>
          <w:u w:val="none" w:color="auto"/>
        </w:rPr>
        <w:t>维修费、过路过桥费、保险费、安全奖励费用等支出；公务接待费反映单位按规定开支的各类公务接待（含外宾接待）费用。</w:t>
      </w:r>
    </w:p>
    <w:p w14:paraId="2D3F39A9">
      <w:pPr>
        <w:pStyle w:val="29"/>
        <w:keepNext w:val="0"/>
        <w:keepLines w:val="0"/>
        <w:pageBreakBefore w:val="0"/>
        <w:widowControl/>
        <w:kinsoku/>
        <w:wordWrap/>
        <w:overflowPunct/>
        <w:topLinePunct w:val="0"/>
        <w:autoSpaceDE/>
        <w:autoSpaceDN/>
        <w:bidi w:val="0"/>
        <w:adjustRightInd/>
        <w:snapToGrid/>
        <w:spacing w:line="560" w:lineRule="exact"/>
        <w:ind w:firstLine="643"/>
        <w:jc w:val="left"/>
        <w:rPr>
          <w:rFonts w:ascii="Times New Roman" w:hAnsi="Times New Roman" w:eastAsia="Times New Roman" w:cs="Times New Roman"/>
          <w:kern w:val="0"/>
          <w:sz w:val="24"/>
          <w:u w:val="none" w:color="auto"/>
        </w:rPr>
      </w:pPr>
      <w:r>
        <w:rPr>
          <w:rFonts w:ascii="FangSong_GB2312" w:hAnsi="FangSong_GB2312" w:eastAsia="FangSong_GB2312" w:cs="FangSong_GB2312"/>
          <w:b/>
          <w:bCs/>
          <w:kern w:val="0"/>
          <w:sz w:val="32"/>
          <w:szCs w:val="32"/>
          <w:u w:val="none" w:color="auto"/>
        </w:rPr>
        <w:t>十七、机关运行经费：</w:t>
      </w:r>
      <w:r>
        <w:rPr>
          <w:rFonts w:ascii="FangSong_GB2312" w:hAnsi="FangSong_GB2312" w:eastAsia="FangSong_GB2312" w:cs="FangSong_GB2312"/>
          <w:kern w:val="0"/>
          <w:sz w:val="32"/>
          <w:szCs w:val="32"/>
          <w:u w:val="none" w:color="auto"/>
        </w:rPr>
        <w:t>指行政单位和参照公务员法管理的事业单位财政拨款基本支出中的公用经费支出。</w:t>
      </w:r>
    </w:p>
    <w:p w14:paraId="1AFD80F7">
      <w:pPr>
        <w:keepNext w:val="0"/>
        <w:keepLines w:val="0"/>
        <w:pageBreakBefore w:val="0"/>
        <w:widowControl/>
        <w:kinsoku/>
        <w:wordWrap/>
        <w:overflowPunct/>
        <w:topLinePunct w:val="0"/>
        <w:autoSpaceDE/>
        <w:autoSpaceDN/>
        <w:bidi w:val="0"/>
        <w:adjustRightInd/>
        <w:snapToGrid/>
        <w:spacing w:line="560" w:lineRule="exact"/>
        <w:jc w:val="left"/>
        <w:rPr>
          <w:rFonts w:ascii="Times New Roman" w:hAnsi="Times New Roman" w:eastAsia="Times New Roman" w:cs="Times New Roman"/>
          <w:kern w:val="0"/>
          <w:sz w:val="24"/>
          <w:u w:val="none" w:color="auto"/>
        </w:rPr>
      </w:pPr>
    </w:p>
    <w:p w14:paraId="7CDB9579">
      <w:pPr>
        <w:pStyle w:val="3"/>
        <w:keepNext w:val="0"/>
        <w:keepLines w:val="0"/>
        <w:pageBreakBefore w:val="0"/>
        <w:widowControl/>
        <w:kinsoku/>
        <w:wordWrap/>
        <w:overflowPunct/>
        <w:topLinePunct w:val="0"/>
        <w:autoSpaceDE/>
        <w:autoSpaceDN/>
        <w:bidi w:val="0"/>
        <w:adjustRightInd/>
        <w:snapToGrid/>
        <w:spacing w:before="0" w:after="0" w:line="560" w:lineRule="exact"/>
        <w:jc w:val="center"/>
        <w:rPr>
          <w:rFonts w:ascii="Times New Roman" w:hAnsi="Times New Roman" w:eastAsia="Times New Roman" w:cs="Times New Roman"/>
          <w:kern w:val="0"/>
          <w:sz w:val="24"/>
          <w:u w:val="none" w:color="auto"/>
        </w:rPr>
      </w:pPr>
      <w:r>
        <w:rPr>
          <w:rFonts w:ascii="fang_zheng_xiao_biao_song_ti" w:hAnsi="fang_zheng_xiao_biao_song_ti" w:eastAsia="fang_zheng_xiao_biao_song_ti" w:cs="fang_zheng_xiao_biao_song_ti"/>
          <w:kern w:val="0"/>
          <w:sz w:val="36"/>
          <w:szCs w:val="36"/>
          <w:u w:val="none" w:color="auto"/>
        </w:rPr>
        <w:t>第四部分</w:t>
      </w:r>
      <w:r>
        <w:rPr>
          <w:rFonts w:ascii="Times New Roman" w:hAnsi="Times New Roman" w:eastAsia="Times New Roman" w:cs="Times New Roman"/>
          <w:kern w:val="0"/>
          <w:sz w:val="36"/>
          <w:szCs w:val="36"/>
          <w:u w:val="none" w:color="auto"/>
        </w:rPr>
        <w:t> </w:t>
      </w:r>
      <w:r>
        <w:rPr>
          <w:rFonts w:ascii="fang_zheng_xiao_biao_song_ti" w:hAnsi="fang_zheng_xiao_biao_song_ti" w:eastAsia="fang_zheng_xiao_biao_song_ti" w:cs="fang_zheng_xiao_biao_song_ti"/>
          <w:b w:val="0"/>
          <w:bCs w:val="0"/>
          <w:kern w:val="0"/>
          <w:sz w:val="36"/>
          <w:szCs w:val="36"/>
          <w:u w:val="none" w:color="auto"/>
        </w:rPr>
        <w:t xml:space="preserve"> </w:t>
      </w:r>
      <w:r>
        <w:rPr>
          <w:rFonts w:ascii="fang_zheng_xiao_biao_song_ti" w:hAnsi="fang_zheng_xiao_biao_song_ti" w:eastAsia="fang_zheng_xiao_biao_song_ti" w:cs="fang_zheng_xiao_biao_song_ti"/>
          <w:kern w:val="0"/>
          <w:sz w:val="36"/>
          <w:szCs w:val="36"/>
          <w:u w:val="none" w:color="auto"/>
        </w:rPr>
        <w:t>决算公开联系方式及信息反馈渠道</w:t>
      </w:r>
    </w:p>
    <w:p w14:paraId="01F3D2C4">
      <w:pPr>
        <w:keepNext w:val="0"/>
        <w:keepLines w:val="0"/>
        <w:pageBreakBefore w:val="0"/>
        <w:kinsoku/>
        <w:wordWrap/>
        <w:overflowPunct/>
        <w:topLinePunct w:val="0"/>
        <w:autoSpaceDE/>
        <w:autoSpaceDN/>
        <w:bidi w:val="0"/>
        <w:adjustRightInd/>
        <w:snapToGrid/>
        <w:spacing w:line="560" w:lineRule="exact"/>
        <w:ind w:firstLine="640"/>
        <w:jc w:val="both"/>
        <w:rPr>
          <w:rFonts w:hint="eastAsia" w:ascii="方正仿宋_GB2312" w:hAnsi="方正仿宋_GB2312" w:eastAsia="方正仿宋_GB2312" w:cs="方正仿宋_GB2312"/>
          <w:kern w:val="0"/>
          <w:sz w:val="32"/>
          <w:szCs w:val="32"/>
          <w:u w:val="none" w:color="auto"/>
          <w:lang w:val="en-US" w:eastAsia="zh-CN" w:bidi="ar-SA"/>
        </w:rPr>
      </w:pPr>
      <w:r>
        <w:rPr>
          <w:rFonts w:hint="eastAsia" w:ascii="方正仿宋_GB2312" w:hAnsi="方正仿宋_GB2312" w:eastAsia="方正仿宋_GB2312" w:cs="方正仿宋_GB2312"/>
          <w:kern w:val="0"/>
          <w:sz w:val="32"/>
          <w:szCs w:val="32"/>
          <w:u w:val="none" w:color="auto"/>
          <w:lang w:val="en-US" w:eastAsia="zh-CN" w:bidi="ar-SA"/>
        </w:rPr>
        <w:t>本单位决算公开信息反馈和联系方式：</w:t>
      </w:r>
    </w:p>
    <w:p w14:paraId="27E54CDD">
      <w:pPr>
        <w:keepNext w:val="0"/>
        <w:keepLines w:val="0"/>
        <w:pageBreakBefore w:val="0"/>
        <w:kinsoku/>
        <w:wordWrap/>
        <w:overflowPunct/>
        <w:topLinePunct w:val="0"/>
        <w:autoSpaceDE/>
        <w:autoSpaceDN/>
        <w:bidi w:val="0"/>
        <w:adjustRightInd/>
        <w:snapToGrid/>
        <w:spacing w:line="560" w:lineRule="exact"/>
        <w:ind w:firstLine="640"/>
        <w:jc w:val="both"/>
        <w:rPr>
          <w:rFonts w:hint="eastAsia" w:ascii="方正仿宋_GB2312" w:hAnsi="方正仿宋_GB2312" w:eastAsia="方正仿宋_GB2312" w:cs="方正仿宋_GB2312"/>
          <w:kern w:val="0"/>
          <w:sz w:val="32"/>
          <w:szCs w:val="32"/>
          <w:u w:val="none" w:color="auto"/>
          <w:lang w:val="en-US" w:eastAsia="zh-CN" w:bidi="ar-SA"/>
        </w:rPr>
      </w:pPr>
      <w:r>
        <w:rPr>
          <w:rFonts w:hint="eastAsia" w:ascii="方正仿宋_GB2312" w:hAnsi="方正仿宋_GB2312" w:eastAsia="方正仿宋_GB2312" w:cs="方正仿宋_GB2312"/>
          <w:kern w:val="0"/>
          <w:sz w:val="32"/>
          <w:szCs w:val="32"/>
          <w:u w:val="none" w:color="auto"/>
          <w:lang w:val="en-US" w:eastAsia="zh-CN" w:bidi="ar-SA"/>
        </w:rPr>
        <w:t>联系人：王丽          联系电话：0478-8762014</w:t>
      </w:r>
    </w:p>
    <w:p w14:paraId="465D5AE8">
      <w:pPr>
        <w:pStyle w:val="3"/>
        <w:keepNext w:val="0"/>
        <w:keepLines w:val="0"/>
        <w:pageBreakBefore w:val="0"/>
        <w:widowControl/>
        <w:kinsoku/>
        <w:wordWrap/>
        <w:overflowPunct/>
        <w:topLinePunct w:val="0"/>
        <w:autoSpaceDE/>
        <w:autoSpaceDN/>
        <w:bidi w:val="0"/>
        <w:adjustRightInd/>
        <w:snapToGrid/>
        <w:spacing w:before="0" w:after="0" w:line="560" w:lineRule="exact"/>
        <w:jc w:val="center"/>
        <w:rPr>
          <w:rFonts w:ascii="Times New Roman" w:hAnsi="Times New Roman" w:eastAsia="Times New Roman" w:cs="Times New Roman"/>
          <w:kern w:val="0"/>
          <w:sz w:val="24"/>
          <w:u w:val="none" w:color="auto"/>
        </w:rPr>
      </w:pPr>
      <w:r>
        <w:rPr>
          <w:rFonts w:ascii="fang_zheng_xiao_biao_song_ti" w:hAnsi="fang_zheng_xiao_biao_song_ti" w:eastAsia="fang_zheng_xiao_biao_song_ti" w:cs="fang_zheng_xiao_biao_song_ti"/>
          <w:kern w:val="0"/>
          <w:sz w:val="36"/>
          <w:szCs w:val="36"/>
          <w:u w:val="none" w:color="auto"/>
        </w:rPr>
        <w:t>第五部分</w:t>
      </w:r>
      <w:r>
        <w:rPr>
          <w:rFonts w:ascii="Times New Roman" w:hAnsi="Times New Roman" w:eastAsia="Times New Roman" w:cs="Times New Roman"/>
          <w:kern w:val="0"/>
          <w:sz w:val="36"/>
          <w:szCs w:val="36"/>
          <w:u w:val="none" w:color="auto"/>
        </w:rPr>
        <w:t> </w:t>
      </w:r>
      <w:r>
        <w:rPr>
          <w:rFonts w:ascii="方正小标宋简体" w:hAnsi="方正小标宋简体" w:eastAsia="方正小标宋简体" w:cs="方正小标宋简体"/>
          <w:b w:val="0"/>
          <w:bCs w:val="0"/>
          <w:kern w:val="0"/>
          <w:sz w:val="36"/>
          <w:szCs w:val="36"/>
          <w:u w:val="none" w:color="auto"/>
        </w:rPr>
        <w:t xml:space="preserve"> </w:t>
      </w:r>
      <w:r>
        <w:rPr>
          <w:rFonts w:ascii="fang_zheng_xiao_biao_song_ti" w:hAnsi="fang_zheng_xiao_biao_song_ti" w:eastAsia="fang_zheng_xiao_biao_song_ti" w:cs="fang_zheng_xiao_biao_song_ti"/>
          <w:kern w:val="0"/>
          <w:sz w:val="36"/>
          <w:szCs w:val="36"/>
          <w:u w:val="none" w:color="auto"/>
        </w:rPr>
        <w:t>单位决算表</w:t>
      </w:r>
      <w:r>
        <w:rPr>
          <w:rFonts w:ascii="Times New Roman" w:hAnsi="Times New Roman" w:eastAsia="Times New Roman" w:cs="Times New Roman"/>
          <w:kern w:val="0"/>
          <w:sz w:val="24"/>
          <w:u w:val="none" w:color="auto"/>
          <w:lang w:eastAsia="en-US"/>
        </w:rPr>
        <w:t> </w:t>
      </w:r>
    </w:p>
    <w:p w14:paraId="03FD48B8">
      <w:pPr>
        <w:keepNext w:val="0"/>
        <w:keepLines w:val="0"/>
        <w:pageBreakBefore w:val="0"/>
        <w:kinsoku/>
        <w:wordWrap/>
        <w:overflowPunct/>
        <w:topLinePunct w:val="0"/>
        <w:autoSpaceDE/>
        <w:autoSpaceDN/>
        <w:bidi w:val="0"/>
        <w:adjustRightInd/>
        <w:snapToGrid/>
        <w:spacing w:line="560" w:lineRule="exact"/>
        <w:ind w:firstLine="640"/>
        <w:jc w:val="both"/>
        <w:rPr>
          <w:rFonts w:hint="eastAsia" w:ascii="方正仿宋_GB2312" w:hAnsi="方正仿宋_GB2312" w:eastAsia="方正仿宋_GB2312" w:cs="方正仿宋_GB2312"/>
          <w:kern w:val="0"/>
          <w:sz w:val="32"/>
          <w:szCs w:val="32"/>
          <w:u w:val="none" w:color="auto"/>
          <w:lang w:val="en-US" w:eastAsia="zh-CN" w:bidi="ar-SA"/>
        </w:rPr>
      </w:pPr>
      <w:r>
        <w:rPr>
          <w:rFonts w:hint="eastAsia" w:ascii="方正仿宋_GB2312" w:hAnsi="方正仿宋_GB2312" w:eastAsia="方正仿宋_GB2312" w:cs="方正仿宋_GB2312"/>
          <w:kern w:val="0"/>
          <w:sz w:val="32"/>
          <w:szCs w:val="32"/>
          <w:u w:val="none" w:color="auto"/>
          <w:lang w:val="en-US" w:eastAsia="zh-CN" w:bidi="ar-SA"/>
        </w:rPr>
        <w:t>见附件。</w:t>
      </w:r>
    </w:p>
    <w:bookmarkEnd w:id="0"/>
    <w:p w14:paraId="213D5078">
      <w:pPr>
        <w:keepNext w:val="0"/>
        <w:keepLines w:val="0"/>
        <w:pageBreakBefore w:val="0"/>
        <w:kinsoku/>
        <w:wordWrap/>
        <w:overflowPunct/>
        <w:topLinePunct w:val="0"/>
        <w:autoSpaceDE/>
        <w:autoSpaceDN/>
        <w:bidi w:val="0"/>
        <w:spacing w:line="560" w:lineRule="exact"/>
        <w:ind w:firstLine="640"/>
        <w:jc w:val="both"/>
        <w:rPr>
          <w:rFonts w:ascii="宋体" w:hAnsi="宋体"/>
          <w:b/>
          <w:sz w:val="32"/>
          <w:szCs w:val="32"/>
          <w:u w:val="none" w:color="auto"/>
        </w:rPr>
      </w:pPr>
    </w:p>
    <w:p w14:paraId="16B721BE">
      <w:pPr>
        <w:keepNext w:val="0"/>
        <w:keepLines w:val="0"/>
        <w:pageBreakBefore w:val="0"/>
        <w:kinsoku/>
        <w:wordWrap/>
        <w:overflowPunct/>
        <w:topLinePunct w:val="0"/>
        <w:autoSpaceDE/>
        <w:autoSpaceDN/>
        <w:bidi w:val="0"/>
        <w:adjustRightInd w:val="0"/>
        <w:snapToGrid w:val="0"/>
        <w:spacing w:line="560" w:lineRule="exact"/>
        <w:rPr>
          <w:rFonts w:ascii="宋体" w:hAnsi="宋体"/>
          <w:b/>
          <w:sz w:val="32"/>
          <w:szCs w:val="32"/>
          <w:u w:val="none" w:color="auto"/>
        </w:rPr>
      </w:pPr>
    </w:p>
    <w:p w14:paraId="064DC7E7">
      <w:pPr>
        <w:keepNext w:val="0"/>
        <w:keepLines w:val="0"/>
        <w:pageBreakBefore w:val="0"/>
        <w:tabs>
          <w:tab w:val="left" w:pos="8415"/>
        </w:tabs>
        <w:kinsoku/>
        <w:wordWrap/>
        <w:overflowPunct/>
        <w:topLinePunct w:val="0"/>
        <w:autoSpaceDE/>
        <w:autoSpaceDN/>
        <w:bidi w:val="0"/>
        <w:spacing w:line="560" w:lineRule="exact"/>
        <w:rPr>
          <w:u w:val="none" w:color="auto"/>
        </w:rPr>
      </w:pPr>
      <w:bookmarkStart w:id="1" w:name="_GoBack"/>
      <w:bookmarkEnd w:id="1"/>
    </w:p>
    <w:sectPr>
      <w:footerReference r:id="rId4" w:type="default"/>
      <w:pgSz w:w="11906" w:h="16838"/>
      <w:pgMar w:top="1440" w:right="1800" w:bottom="1440" w:left="1800" w:header="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86"/>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0000000" w:usb3="00000000" w:csb0="0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FangSong_GB2312">
    <w:panose1 w:val="02010609030101010101"/>
    <w:charset w:val="86"/>
    <w:family w:val="auto"/>
    <w:pitch w:val="default"/>
    <w:sig w:usb0="00000001" w:usb1="080E0000" w:usb2="00000000" w:usb3="00000000" w:csb0="00040000" w:csb1="00000000"/>
  </w:font>
  <w:font w:name="方正楷体_GB2312">
    <w:panose1 w:val="02000000000000000000"/>
    <w:charset w:val="86"/>
    <w:family w:val="auto"/>
    <w:pitch w:val="default"/>
    <w:sig w:usb0="A00002BF" w:usb1="184F6CFA" w:usb2="00000012" w:usb3="00000000" w:csb0="00040001" w:csb1="00000000"/>
  </w:font>
  <w:font w:name="方正仿宋_GB2312">
    <w:panose1 w:val="02000000000000000000"/>
    <w:charset w:val="86"/>
    <w:family w:val="auto"/>
    <w:pitch w:val="default"/>
    <w:sig w:usb0="A00002BF" w:usb1="184F6CFA" w:usb2="00000012" w:usb3="00000000" w:csb0="00040001" w:csb1="00000000"/>
  </w:font>
  <w:font w:name="times_new_roman">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fang_zheng_xiao_biao_song_ti">
    <w:altName w:val="C059"/>
    <w:panose1 w:val="00000000000000000000"/>
    <w:charset w:val="00"/>
    <w:family w:val="auto"/>
    <w:pitch w:val="default"/>
    <w:sig w:usb0="00000000" w:usb1="00000000" w:usb2="00000000" w:usb3="00000000" w:csb0="00000000" w:csb1="00000000"/>
  </w:font>
  <w:font w:name="文泉驿微米黑">
    <w:panose1 w:val="020B0606030804020204"/>
    <w:charset w:val="86"/>
    <w:family w:val="auto"/>
    <w:pitch w:val="default"/>
    <w:sig w:usb0="E10002EF" w:usb1="6BDFFCFB" w:usb2="00800036" w:usb3="00000000" w:csb0="603E019F" w:csb1="DFD7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BF6FB">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w:t>
    </w:r>
    <w:r>
      <w:rPr>
        <w:rFonts w:ascii="宋体" w:hAnsi="宋体" w:eastAsia="宋体" w:cs="宋体"/>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D14BF">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30</w:t>
    </w:r>
    <w:r>
      <w:rPr>
        <w:rFonts w:ascii="宋体" w:hAnsi="宋体" w:eastAsia="宋体" w:cs="宋体"/>
        <w:sz w:val="18"/>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doNotUseIndentAsNumberingTabStop/>
    <w:splitPgBreakAndParaMark/>
    <w:compatSetting w:name="compatibilityMode" w:uri="http://schemas.microsoft.com/office/word" w:val="12"/>
  </w:compat>
  <w:rsids>
    <w:rsidRoot w:val="00000000"/>
    <w:rsid w:val="17FF6508"/>
    <w:rsid w:val="1DFF14D2"/>
    <w:rsid w:val="1F9F5048"/>
    <w:rsid w:val="27F7EA53"/>
    <w:rsid w:val="4BFFC20F"/>
    <w:rsid w:val="674A991A"/>
    <w:rsid w:val="7022FA4A"/>
    <w:rsid w:val="746BC913"/>
    <w:rsid w:val="77BEB50D"/>
    <w:rsid w:val="7974F24B"/>
    <w:rsid w:val="7BFBDA17"/>
    <w:rsid w:val="7EEFD503"/>
    <w:rsid w:val="7EFB7BF9"/>
    <w:rsid w:val="7FBF1C9D"/>
    <w:rsid w:val="7FFCCEF1"/>
    <w:rsid w:val="A25F4D4C"/>
    <w:rsid w:val="B7DEC40A"/>
    <w:rsid w:val="BBCFC883"/>
    <w:rsid w:val="BEFDE34C"/>
    <w:rsid w:val="EF8F0706"/>
    <w:rsid w:val="F7974AE7"/>
    <w:rsid w:val="F8FF624D"/>
    <w:rsid w:val="FF66B912"/>
    <w:rsid w:val="FFD97D7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28"/>
    <w:qFormat/>
    <w:uiPriority w:val="0"/>
    <w:pPr>
      <w:keepNext/>
      <w:keepLines/>
      <w:spacing w:before="260" w:after="260" w:line="416" w:lineRule="auto"/>
      <w:outlineLvl w:val="2"/>
    </w:pPr>
    <w:rPr>
      <w:b/>
      <w:bCs/>
      <w:sz w:val="32"/>
      <w:szCs w:val="32"/>
    </w:rPr>
  </w:style>
  <w:style w:type="paragraph" w:styleId="5">
    <w:name w:val="heading 4"/>
    <w:basedOn w:val="1"/>
    <w:next w:val="1"/>
    <w:link w:val="23"/>
    <w:qFormat/>
    <w:uiPriority w:val="0"/>
    <w:pPr>
      <w:keepNext/>
      <w:keepLines/>
      <w:spacing w:before="280" w:after="290" w:line="376" w:lineRule="auto"/>
      <w:outlineLvl w:val="3"/>
    </w:pPr>
    <w:rPr>
      <w:rFonts w:ascii="Cambria" w:hAnsi="Cambria"/>
      <w:b/>
      <w:bCs/>
      <w:sz w:val="28"/>
      <w:szCs w:val="28"/>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autoRedefine/>
    <w:qFormat/>
    <w:uiPriority w:val="0"/>
    <w:pPr>
      <w:ind w:left="1260"/>
      <w:jc w:val="left"/>
    </w:pPr>
    <w:rPr>
      <w:sz w:val="20"/>
      <w:szCs w:val="20"/>
    </w:rPr>
  </w:style>
  <w:style w:type="paragraph" w:styleId="7">
    <w:name w:val="Document Map"/>
    <w:basedOn w:val="1"/>
    <w:qFormat/>
    <w:uiPriority w:val="0"/>
    <w:pPr>
      <w:shd w:val="clear" w:color="auto" w:fill="000080"/>
    </w:pPr>
  </w:style>
  <w:style w:type="paragraph" w:styleId="8">
    <w:name w:val="toc 5"/>
    <w:basedOn w:val="1"/>
    <w:next w:val="1"/>
    <w:autoRedefine/>
    <w:qFormat/>
    <w:uiPriority w:val="0"/>
    <w:pPr>
      <w:ind w:left="840"/>
      <w:jc w:val="left"/>
    </w:pPr>
    <w:rPr>
      <w:sz w:val="20"/>
      <w:szCs w:val="20"/>
    </w:rPr>
  </w:style>
  <w:style w:type="paragraph" w:styleId="9">
    <w:name w:val="toc 3"/>
    <w:basedOn w:val="1"/>
    <w:next w:val="1"/>
    <w:qFormat/>
    <w:uiPriority w:val="0"/>
    <w:pPr>
      <w:adjustRightInd w:val="0"/>
      <w:snapToGrid w:val="0"/>
      <w:spacing w:line="360" w:lineRule="auto"/>
      <w:ind w:firstLine="400" w:firstLineChars="400"/>
      <w:jc w:val="left"/>
    </w:pPr>
    <w:rPr>
      <w:sz w:val="24"/>
      <w:szCs w:val="20"/>
    </w:rPr>
  </w:style>
  <w:style w:type="paragraph" w:styleId="10">
    <w:name w:val="toc 8"/>
    <w:basedOn w:val="1"/>
    <w:next w:val="1"/>
    <w:autoRedefine/>
    <w:qFormat/>
    <w:uiPriority w:val="0"/>
    <w:pPr>
      <w:ind w:left="1470"/>
      <w:jc w:val="left"/>
    </w:pPr>
    <w:rPr>
      <w:sz w:val="20"/>
      <w:szCs w:val="20"/>
    </w:rPr>
  </w:style>
  <w:style w:type="paragraph" w:styleId="11">
    <w:name w:val="footer"/>
    <w:basedOn w:val="1"/>
    <w:link w:val="26"/>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0"/>
    <w:pPr>
      <w:adjustRightInd w:val="0"/>
      <w:snapToGrid w:val="0"/>
      <w:spacing w:line="360" w:lineRule="auto"/>
      <w:jc w:val="left"/>
    </w:pPr>
    <w:rPr>
      <w:b/>
      <w:bCs/>
      <w:sz w:val="24"/>
      <w:szCs w:val="20"/>
    </w:rPr>
  </w:style>
  <w:style w:type="paragraph" w:styleId="14">
    <w:name w:val="toc 4"/>
    <w:basedOn w:val="1"/>
    <w:next w:val="1"/>
    <w:autoRedefine/>
    <w:qFormat/>
    <w:uiPriority w:val="0"/>
    <w:pPr>
      <w:ind w:left="630"/>
      <w:jc w:val="left"/>
    </w:pPr>
    <w:rPr>
      <w:sz w:val="20"/>
      <w:szCs w:val="20"/>
    </w:rPr>
  </w:style>
  <w:style w:type="paragraph" w:styleId="15">
    <w:name w:val="toc 6"/>
    <w:basedOn w:val="1"/>
    <w:next w:val="1"/>
    <w:autoRedefine/>
    <w:qFormat/>
    <w:uiPriority w:val="0"/>
    <w:pPr>
      <w:ind w:left="1050"/>
      <w:jc w:val="left"/>
    </w:pPr>
    <w:rPr>
      <w:sz w:val="20"/>
      <w:szCs w:val="20"/>
    </w:rPr>
  </w:style>
  <w:style w:type="paragraph" w:styleId="16">
    <w:name w:val="toc 2"/>
    <w:basedOn w:val="1"/>
    <w:next w:val="1"/>
    <w:qFormat/>
    <w:uiPriority w:val="0"/>
    <w:pPr>
      <w:adjustRightInd w:val="0"/>
      <w:snapToGrid w:val="0"/>
      <w:spacing w:line="360" w:lineRule="auto"/>
      <w:ind w:firstLine="200" w:firstLineChars="200"/>
      <w:jc w:val="left"/>
    </w:pPr>
    <w:rPr>
      <w:iCs/>
      <w:sz w:val="24"/>
      <w:szCs w:val="20"/>
    </w:rPr>
  </w:style>
  <w:style w:type="paragraph" w:styleId="17">
    <w:name w:val="toc 9"/>
    <w:basedOn w:val="1"/>
    <w:next w:val="1"/>
    <w:autoRedefine/>
    <w:qFormat/>
    <w:uiPriority w:val="0"/>
    <w:pPr>
      <w:ind w:left="1680"/>
      <w:jc w:val="left"/>
    </w:pPr>
    <w:rPr>
      <w:sz w:val="20"/>
      <w:szCs w:val="20"/>
    </w:rPr>
  </w:style>
  <w:style w:type="paragraph" w:styleId="18">
    <w:name w:val="Normal (Web)"/>
    <w:basedOn w:val="1"/>
    <w:semiHidden/>
    <w:unhideWhenUsed/>
    <w:qFormat/>
    <w:uiPriority w:val="0"/>
    <w:pPr>
      <w:spacing w:before="0" w:beforeAutospacing="1" w:after="0" w:afterAutospacing="1"/>
      <w:ind w:left="0" w:right="0"/>
      <w:jc w:val="left"/>
    </w:pPr>
    <w:rPr>
      <w:kern w:val="0"/>
      <w:sz w:val="24"/>
      <w:lang w:val="en-US" w:eastAsia="zh-CN" w:bidi="ar"/>
    </w:rPr>
  </w:style>
  <w:style w:type="character" w:styleId="21">
    <w:name w:val="page number"/>
    <w:basedOn w:val="20"/>
    <w:qFormat/>
    <w:uiPriority w:val="0"/>
  </w:style>
  <w:style w:type="character" w:styleId="22">
    <w:name w:val="Hyperlink"/>
    <w:basedOn w:val="20"/>
    <w:qFormat/>
    <w:uiPriority w:val="0"/>
    <w:rPr>
      <w:color w:val="0000FF"/>
      <w:u w:val="single"/>
    </w:rPr>
  </w:style>
  <w:style w:type="character" w:customStyle="1" w:styleId="23">
    <w:name w:val="标题 4 Char"/>
    <w:basedOn w:val="20"/>
    <w:link w:val="5"/>
    <w:qFormat/>
    <w:uiPriority w:val="0"/>
    <w:rPr>
      <w:rFonts w:ascii="Cambria" w:hAnsi="Cambria"/>
      <w:b/>
      <w:bCs/>
      <w:kern w:val="2"/>
      <w:sz w:val="28"/>
      <w:szCs w:val="28"/>
    </w:rPr>
  </w:style>
  <w:style w:type="paragraph" w:styleId="24">
    <w:name w:val="No Spacing"/>
    <w:link w:val="25"/>
    <w:qFormat/>
    <w:uiPriority w:val="0"/>
    <w:pPr>
      <w:ind w:firstLine="200" w:firstLineChars="200"/>
    </w:pPr>
    <w:rPr>
      <w:rFonts w:ascii="Times New Roman" w:hAnsi="Times New Roman" w:eastAsia="仿宋_GB2312" w:cs="Times New Roman"/>
      <w:sz w:val="30"/>
      <w:szCs w:val="22"/>
      <w:lang w:val="en-US" w:eastAsia="zh-CN" w:bidi="ar-SA"/>
    </w:rPr>
  </w:style>
  <w:style w:type="character" w:customStyle="1" w:styleId="25">
    <w:name w:val="无间隔 Char"/>
    <w:link w:val="24"/>
    <w:qFormat/>
    <w:locked/>
    <w:uiPriority w:val="0"/>
    <w:rPr>
      <w:rFonts w:eastAsia="仿宋_GB2312"/>
      <w:sz w:val="30"/>
      <w:szCs w:val="22"/>
      <w:lang w:bidi="ar-SA"/>
    </w:rPr>
  </w:style>
  <w:style w:type="character" w:customStyle="1" w:styleId="26">
    <w:name w:val="页脚 Char"/>
    <w:basedOn w:val="20"/>
    <w:link w:val="11"/>
    <w:qFormat/>
    <w:uiPriority w:val="0"/>
    <w:rPr>
      <w:kern w:val="2"/>
      <w:sz w:val="18"/>
      <w:szCs w:val="18"/>
    </w:rPr>
  </w:style>
  <w:style w:type="paragraph" w:styleId="27">
    <w:name w:val="List Paragraph"/>
    <w:basedOn w:val="1"/>
    <w:qFormat/>
    <w:uiPriority w:val="0"/>
    <w:pPr>
      <w:ind w:firstLine="420" w:firstLineChars="200"/>
    </w:pPr>
  </w:style>
  <w:style w:type="character" w:customStyle="1" w:styleId="28">
    <w:name w:val="标题 3 Char"/>
    <w:basedOn w:val="20"/>
    <w:link w:val="4"/>
    <w:qFormat/>
    <w:uiPriority w:val="0"/>
    <w:rPr>
      <w:b/>
      <w:bCs/>
      <w:kern w:val="2"/>
      <w:sz w:val="32"/>
      <w:szCs w:val="32"/>
    </w:rPr>
  </w:style>
  <w:style w:type="paragraph" w:customStyle="1" w:styleId="29">
    <w:name w:val="MsoNormal"/>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oda="http://opendope.org/answers" xmlns:w16se="http://schemas.microsoft.com/office/word/2015/wordml/symex" xmlns:odc="http://opendope.org/conditions" xmlns:odi="http://opendope.org/components" xmlns:cdr="http://schemas.openxmlformats.org/drawingml/2006/chartDrawing" xmlns:a="http://schemas.openxmlformats.org/drawingml/2006/main" xmlns:odq="http://opendope.org/questions" xmlns:c="http://schemas.openxmlformats.org/drawingml/2006/chart" xmlns:odx="http://opendope.org/xpaths" xmlns:xdr="http://schemas.openxmlformats.org/drawingml/2006/spreadsheetDrawing" xmlns:wp14="http://schemas.microsoft.com/office/word/2010/wordprocessingDrawing" xmlns:lc="http://schemas.openxmlformats.org/drawingml/2006/lockedCanvas" xmlns:dsp="http://schemas.microsoft.com/office/drawing/2008/diagram" xmlns:m="http://schemas.openxmlformats.org/officeDocument/2006/math" xmlns:w10="urn:schemas-microsoft-com:office:word" xmlns:wne="http://schemas.microsoft.com/office/word/2006/wordml" xmlns:o="urn:schemas-microsoft-com:office:office" xmlns:wetp="http://schemas.microsoft.com/office/webextensions/taskpanes/2010/11" xmlns:w14="http://schemas.microsoft.com/office/word/2010/wordml" xmlns:r="http://schemas.openxmlformats.org/officeDocument/2006/relationships" xmlns:w15="http://schemas.microsoft.com/office/word/2012/wordml" xmlns:we="http://schemas.microsoft.com/office/webextensions/webextension/2010/11" xmlns:pvml="urn:schemas-microsoft-com:office:powerpoint" xmlns:v="urn:schemas-microsoft-com:vml" xmlns:w="http://schemas.openxmlformats.org/wordprocessingml/2006/main" xmlns:wps="http://schemas.microsoft.com/office/word/2010/wordprocessingShape" xmlns:cppr="http://schemas.microsoft.com/office/2006/coverPageProps" xmlns:c14="http://schemas.microsoft.com/office/drawing/2007/8/2/chart" xmlns:wp="http://schemas.openxmlformats.org/drawingml/2006/wordprocessingDrawing" xmlns:xvml="urn:schemas-microsoft-com:office:excel" xmlns:w16cid="http://schemas.microsoft.com/office/word/2016/wordml/cid" xmlns:pic="http://schemas.openxmlformats.org/drawingml/2006/picture" xmlns:sl="http://schemas.openxmlformats.org/schemaLibrary/2006/main" xmlns:dgm="http://schemas.openxmlformats.org/drawingml/2006/diagram" xmlns:mc="http://schemas.openxmlformats.org/markup-compatibility/2006" xmlns:comp="http://schemas.openxmlformats.org/drawingml/2006/compatibility" xmlns:odgm="http://opendope.org/SmartArt/DataHierarchy" StyleName="APA" SelectedStyle="\APASixthEditionOfficeOnline.xsl"/>
</file>

<file path=customXml/itemProps1.xml><?xml version="1.0" encoding="utf-8"?>
<ds:datastoreItem xmlns:ds="http://schemas.openxmlformats.org/officeDocument/2006/customXml" ds:itemID="{40FBB8C3-AB0F-4E54-B888-F65ACC039CAF}">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42</Pages>
  <Words>7</Words>
  <Characters>40</Characters>
  <Lines>1</Lines>
  <Paragraphs>1</Paragraphs>
  <TotalTime>188</TotalTime>
  <ScaleCrop>false</ScaleCrop>
  <LinksUpToDate>false</LinksUpToDate>
  <CharactersWithSpaces>46</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2022-03-25T20:40:00Z</dcterms:created>
  <dc:creator>Administrator</dc:creator>
  <cp:lastModifiedBy>竹子</cp:lastModifiedBy>
  <cp:lastPrinted>2021-04-18T08:45:00Z</cp:lastPrinted>
  <dcterms:modified xsi:type="dcterms:W3CDTF">2026-09-18T10:01:01Z</dcterms:modified>
  <dc:title>××年度××部门/单位</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611238F30D8A411DBAB9B55681FC0BF8_12</vt:lpwstr>
  </property>
  <property fmtid="{D5CDD505-2E9C-101B-9397-08002B2CF9AE}" pid="3" name="KSOProductBuildVer">
    <vt:lpwstr>2052-12.8.2.20327</vt:lpwstr>
  </property>
  <property fmtid="{D5CDD505-2E9C-101B-9397-08002B2CF9AE}" pid="4" name="KSOTemplateDocerSaveRecord">
    <vt:lpwstr>eyJoZGlkIjoiN2YzNjBkOTgyNWQ1YTMxYzM3MzMwNWFiODNmOWIzYWMiLCJ1c2VySWQiOiI4MDUyMTE2MjkifQ==</vt:lpwstr>
  </property>
</Properties>
</file>