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pageBreakBefore w:val="0"/>
        <w:kinsoku/>
        <w:wordWrap/>
        <w:overflowPunct/>
        <w:topLinePunct w:val="0"/>
        <w:bidi w:val="0"/>
        <w:spacing w:line="560" w:lineRule="exact"/>
        <w:jc w:val="both"/>
        <w:rPr>
          <w:rFonts w:ascii="宋体" w:hAnsi="宋体"/>
          <w:sz w:val="24"/>
          <w:u w:val="none" w:color="auto"/>
        </w:rPr>
      </w:pPr>
    </w:p>
    <w:p w14:paraId="781F0199">
      <w:pPr>
        <w:pageBreakBefore w:val="0"/>
        <w:kinsoku/>
        <w:wordWrap/>
        <w:overflowPunct/>
        <w:topLinePunct w:val="0"/>
        <w:bidi w:val="0"/>
        <w:spacing w:line="560" w:lineRule="exact"/>
        <w:jc w:val="both"/>
        <w:rPr>
          <w:rFonts w:ascii="宋体" w:hAnsi="宋体"/>
          <w:sz w:val="24"/>
          <w:u w:val="none" w:color="auto"/>
        </w:rPr>
      </w:pPr>
    </w:p>
    <w:p w14:paraId="588D4AEF">
      <w:pPr>
        <w:pageBreakBefore w:val="0"/>
        <w:kinsoku/>
        <w:wordWrap/>
        <w:overflowPunct/>
        <w:topLinePunct w:val="0"/>
        <w:bidi w:val="0"/>
        <w:spacing w:line="560" w:lineRule="exact"/>
        <w:jc w:val="both"/>
        <w:rPr>
          <w:rFonts w:ascii="宋体" w:hAnsi="宋体"/>
          <w:sz w:val="24"/>
          <w:u w:val="none" w:color="auto"/>
        </w:rPr>
      </w:pPr>
    </w:p>
    <w:p w14:paraId="3F809282">
      <w:pPr>
        <w:pageBreakBefore w:val="0"/>
        <w:kinsoku/>
        <w:wordWrap/>
        <w:overflowPunct/>
        <w:topLinePunct w:val="0"/>
        <w:bidi w:val="0"/>
        <w:spacing w:line="560" w:lineRule="exact"/>
        <w:jc w:val="both"/>
        <w:rPr>
          <w:rFonts w:ascii="宋体" w:hAnsi="宋体"/>
          <w:sz w:val="24"/>
          <w:u w:val="none" w:color="auto"/>
        </w:rPr>
      </w:pPr>
    </w:p>
    <w:p w14:paraId="76BAC3D8">
      <w:pPr>
        <w:keepNext/>
        <w:keepLines/>
        <w:pageBreakBefore w:val="0"/>
        <w:tabs>
          <w:tab w:val="left" w:pos="6669"/>
        </w:tabs>
        <w:kinsoku/>
        <w:wordWrap/>
        <w:overflowPunct/>
        <w:topLinePunct w:val="0"/>
        <w:bidi w:val="0"/>
        <w:spacing w:line="560" w:lineRule="exact"/>
        <w:ind w:left="198"/>
        <w:jc w:val="both"/>
        <w:rPr>
          <w:rFonts w:ascii="Times New Roman" w:hAnsi="Times New Roman" w:eastAsia="方正小标宋简体"/>
          <w:kern w:val="2"/>
          <w:sz w:val="44"/>
          <w:u w:val="none" w:color="auto"/>
        </w:rPr>
      </w:pPr>
    </w:p>
    <w:p w14:paraId="309C31FF">
      <w:pPr>
        <w:keepNext/>
        <w:keepLines/>
        <w:pageBreakBefore w:val="0"/>
        <w:tabs>
          <w:tab w:val="left" w:pos="6669"/>
        </w:tabs>
        <w:kinsoku/>
        <w:wordWrap/>
        <w:overflowPunct/>
        <w:topLinePunct w:val="0"/>
        <w:bidi w:val="0"/>
        <w:spacing w:line="560" w:lineRule="exact"/>
        <w:ind w:left="198"/>
        <w:jc w:val="both"/>
        <w:rPr>
          <w:rFonts w:ascii="Times New Roman" w:hAnsi="Times New Roman" w:eastAsia="方正小标宋简体"/>
          <w:kern w:val="2"/>
          <w:sz w:val="44"/>
          <w:u w:val="none" w:color="auto"/>
        </w:rPr>
      </w:pPr>
    </w:p>
    <w:p w14:paraId="214D7B09">
      <w:pPr>
        <w:keepNext/>
        <w:keepLines/>
        <w:pageBreakBefore w:val="0"/>
        <w:tabs>
          <w:tab w:val="left" w:pos="6669"/>
        </w:tabs>
        <w:kinsoku/>
        <w:wordWrap/>
        <w:overflowPunct/>
        <w:topLinePunct w:val="0"/>
        <w:bidi w:val="0"/>
        <w:spacing w:line="560" w:lineRule="exact"/>
        <w:ind w:left="198"/>
        <w:jc w:val="both"/>
        <w:rPr>
          <w:rFonts w:ascii="Times New Roman" w:hAnsi="Times New Roman" w:eastAsia="方正小标宋简体"/>
          <w:kern w:val="2"/>
          <w:sz w:val="44"/>
          <w:u w:val="none" w:color="auto"/>
        </w:rPr>
      </w:pPr>
    </w:p>
    <w:p w14:paraId="63083023">
      <w:pPr>
        <w:keepNext/>
        <w:keepLines/>
        <w:pageBreakBefore w:val="0"/>
        <w:tabs>
          <w:tab w:val="left" w:pos="6669"/>
        </w:tabs>
        <w:kinsoku/>
        <w:wordWrap/>
        <w:overflowPunct/>
        <w:topLinePunct w:val="0"/>
        <w:bidi w:val="0"/>
        <w:spacing w:line="560" w:lineRule="exact"/>
        <w:ind w:left="198"/>
        <w:jc w:val="both"/>
        <w:rPr>
          <w:rFonts w:ascii="Times New Roman" w:hAnsi="Times New Roman" w:eastAsia="方正小标宋简体"/>
          <w:kern w:val="2"/>
          <w:sz w:val="44"/>
          <w:u w:val="none" w:color="auto"/>
        </w:rPr>
      </w:pPr>
    </w:p>
    <w:p w14:paraId="35FD9E39">
      <w:pPr>
        <w:pStyle w:val="23"/>
        <w:pageBreakBefore w:val="0"/>
        <w:kinsoku/>
        <w:wordWrap/>
        <w:overflowPunct/>
        <w:topLinePunct w:val="0"/>
        <w:bidi w:val="0"/>
        <w:spacing w:line="560" w:lineRule="exact"/>
        <w:jc w:val="center"/>
        <w:rPr>
          <w:u w:val="none" w:color="auto"/>
        </w:rPr>
      </w:pPr>
    </w:p>
    <w:p w14:paraId="386D4CD0">
      <w:pPr>
        <w:keepNext/>
        <w:keepLines/>
        <w:pageBreakBefore w:val="0"/>
        <w:tabs>
          <w:tab w:val="left" w:pos="6669"/>
        </w:tabs>
        <w:kinsoku/>
        <w:wordWrap/>
        <w:overflowPunct/>
        <w:topLinePunct w:val="0"/>
        <w:bidi w:val="0"/>
        <w:spacing w:line="560" w:lineRule="exact"/>
        <w:ind w:left="198"/>
        <w:jc w:val="center"/>
        <w:rPr>
          <w:rFonts w:hint="eastAsia" w:ascii="方正小标宋简体" w:hAnsi="Times New Roman" w:eastAsia="方正小标宋简体"/>
          <w:kern w:val="2"/>
          <w:sz w:val="44"/>
          <w:u w:val="none" w:color="auto"/>
          <w:lang w:val="en-US" w:eastAsia="zh-CN"/>
        </w:rPr>
      </w:pPr>
      <w:r>
        <w:rPr>
          <w:rFonts w:ascii="Times New Roman" w:hAnsi="Times New Roman" w:eastAsia="方正小标宋简体"/>
          <w:kern w:val="2"/>
          <w:sz w:val="44"/>
          <w:u w:val="none" w:color="auto"/>
        </w:rPr>
        <w:t>202</w:t>
      </w:r>
      <w:r>
        <w:rPr>
          <w:rFonts w:hint="eastAsia" w:eastAsia="方正小标宋简体"/>
          <w:kern w:val="2"/>
          <w:sz w:val="44"/>
          <w:u w:val="none" w:color="auto"/>
          <w:lang w:val="en-US" w:eastAsia="zh-CN"/>
        </w:rPr>
        <w:t>5</w:t>
      </w:r>
      <w:r>
        <w:rPr>
          <w:rFonts w:ascii="Times New Roman" w:hAnsi="Times New Roman" w:eastAsia="方正小标宋简体"/>
          <w:kern w:val="2"/>
          <w:sz w:val="44"/>
          <w:u w:val="none" w:color="auto"/>
        </w:rPr>
        <w:t>年度</w:t>
      </w:r>
      <w:r>
        <w:rPr>
          <w:rFonts w:hint="eastAsia" w:ascii="方正小标宋简体" w:hAnsi="Times New Roman" w:eastAsia="方正小标宋简体"/>
          <w:kern w:val="2"/>
          <w:sz w:val="44"/>
          <w:u w:val="none" w:color="auto"/>
          <w:lang w:val="en-US" w:eastAsia="zh-CN"/>
        </w:rPr>
        <w:t>巴彦淖尔市卫生健康委员会</w:t>
      </w:r>
    </w:p>
    <w:p w14:paraId="3F48AC1C">
      <w:pPr>
        <w:keepNext/>
        <w:keepLines/>
        <w:pageBreakBefore w:val="0"/>
        <w:tabs>
          <w:tab w:val="left" w:pos="6669"/>
        </w:tabs>
        <w:kinsoku/>
        <w:wordWrap/>
        <w:overflowPunct/>
        <w:topLinePunct w:val="0"/>
        <w:autoSpaceDE/>
        <w:autoSpaceDN/>
        <w:bidi w:val="0"/>
        <w:adjustRightInd/>
        <w:snapToGrid/>
        <w:spacing w:line="560" w:lineRule="exact"/>
        <w:ind w:left="198"/>
        <w:jc w:val="center"/>
        <w:textAlignment w:val="auto"/>
        <w:rPr>
          <w:rFonts w:hint="eastAsia" w:ascii="方正小标宋简体" w:hAnsi="Times New Roman" w:eastAsia="方正小标宋简体"/>
          <w:kern w:val="2"/>
          <w:sz w:val="44"/>
          <w:u w:val="none" w:color="auto"/>
          <w:lang w:eastAsia="zh-CN"/>
        </w:rPr>
        <w:sectPr>
          <w:footerReference r:id="rId3" w:type="default"/>
          <w:pgSz w:w="12240" w:h="15840"/>
          <w:pgMar w:top="1440" w:right="1800" w:bottom="1440" w:left="1800" w:header="720" w:footer="720" w:gutter="0"/>
          <w:cols w:space="720" w:num="1"/>
        </w:sectPr>
      </w:pPr>
      <w:r>
        <w:rPr>
          <w:rFonts w:ascii="方正小标宋简体" w:hAnsi="Times New Roman" w:eastAsia="方正小标宋简体"/>
          <w:kern w:val="2"/>
          <w:sz w:val="44"/>
          <w:u w:val="none" w:color="auto"/>
        </w:rPr>
        <w:t>部门决算公</w:t>
      </w:r>
      <w:r>
        <w:rPr>
          <w:rFonts w:hint="eastAsia" w:ascii="方正小标宋简体" w:eastAsia="方正小标宋简体"/>
          <w:kern w:val="2"/>
          <w:sz w:val="44"/>
          <w:u w:val="none" w:color="auto"/>
          <w:lang w:eastAsia="zh-CN"/>
        </w:rPr>
        <w:t>开报告</w:t>
      </w:r>
    </w:p>
    <w:p w14:paraId="1C9A9517">
      <w:pPr>
        <w:pStyle w:val="31"/>
        <w:pageBreakBefore w:val="0"/>
        <w:widowControl/>
        <w:kinsoku/>
        <w:wordWrap/>
        <w:overflowPunct/>
        <w:topLinePunct w:val="0"/>
        <w:autoSpaceDE/>
        <w:autoSpaceDN/>
        <w:bidi w:val="0"/>
        <w:adjustRightInd/>
        <w:snapToGrid/>
        <w:spacing w:after="240" w:line="560" w:lineRule="exact"/>
        <w:jc w:val="center"/>
        <w:textAlignment w:val="auto"/>
        <w:rPr>
          <w:rFonts w:ascii="Times New Roman" w:hAnsi="Times New Roman" w:eastAsia="Times New Roman" w:cs="Times New Roman"/>
          <w:kern w:val="0"/>
          <w:sz w:val="24"/>
          <w:u w:val="none" w:color="auto"/>
        </w:rPr>
      </w:pPr>
      <w:bookmarkStart w:id="0" w:name="a000"/>
      <w:r>
        <w:rPr>
          <w:rFonts w:ascii="FangSong_GB2312" w:hAnsi="FangSong_GB2312" w:eastAsia="FangSong_GB2312" w:cs="FangSong_GB2312"/>
          <w:b/>
          <w:bCs/>
          <w:kern w:val="0"/>
          <w:sz w:val="48"/>
          <w:szCs w:val="48"/>
          <w:u w:val="none" w:color="auto"/>
        </w:rPr>
        <w:t>目录</w:t>
      </w:r>
    </w:p>
    <w:p w14:paraId="1F747929">
      <w:pPr>
        <w:pageBreakBefore w:val="0"/>
        <w:widowControl/>
        <w:kinsoku/>
        <w:wordWrap/>
        <w:overflowPunct/>
        <w:topLinePunct w:val="0"/>
        <w:autoSpaceDE/>
        <w:autoSpaceDN/>
        <w:bidi w:val="0"/>
        <w:adjustRightInd/>
        <w:snapToGrid/>
        <w:spacing w:before="240" w:after="240" w:line="560" w:lineRule="exact"/>
        <w:jc w:val="both"/>
        <w:textAlignment w:val="auto"/>
        <w:rPr>
          <w:rFonts w:ascii="Times New Roman" w:hAnsi="Times New Roman" w:eastAsia="Times New Roman" w:cs="Times New Roman"/>
          <w:kern w:val="0"/>
          <w:sz w:val="24"/>
          <w:u w:val="none" w:color="auto"/>
        </w:rPr>
      </w:pPr>
      <w:r>
        <w:rPr>
          <w:rFonts w:ascii="Times New Roman" w:hAnsi="Times New Roman" w:eastAsia="Times New Roman" w:cs="Times New Roman"/>
          <w:b/>
          <w:bCs/>
          <w:kern w:val="0"/>
          <w:sz w:val="24"/>
          <w:u w:val="none" w:color="auto"/>
        </w:rPr>
        <w:t> </w:t>
      </w:r>
    </w:p>
    <w:p w14:paraId="149AF264">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第一部分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部门概况</w:t>
      </w:r>
    </w:p>
    <w:p w14:paraId="4359A4B4">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一、主要职能、职责</w:t>
      </w:r>
    </w:p>
    <w:p w14:paraId="2FFA9DB0">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二、部门机构设置及决算单位构成情况</w:t>
      </w:r>
    </w:p>
    <w:p w14:paraId="07BE67BD">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年度部门主要工作完成情况</w:t>
      </w:r>
    </w:p>
    <w:p w14:paraId="2F52FD35">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第二部分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部门决算情况说明</w:t>
      </w:r>
    </w:p>
    <w:p w14:paraId="43EAAA29">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一、收入支出决算总体情况说明</w:t>
      </w:r>
    </w:p>
    <w:p w14:paraId="5A4197F8">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二、收入决算情况说明</w:t>
      </w:r>
    </w:p>
    <w:p w14:paraId="4065323A">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三、支出决算情况说明</w:t>
      </w:r>
    </w:p>
    <w:p w14:paraId="0300AAA5">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四、财政拨款收入支出决算总体情况说明</w:t>
      </w:r>
    </w:p>
    <w:p w14:paraId="282B6F39">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五、一般公共预算财政拨款支出决算情况说明</w:t>
      </w:r>
    </w:p>
    <w:p w14:paraId="0964D5A2">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六、一般公共预算财政拨款基本支出决算情况说明</w:t>
      </w:r>
    </w:p>
    <w:p w14:paraId="11954A43">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七、一般公共预算财政拨款项目支出决算情况说明</w:t>
      </w:r>
    </w:p>
    <w:p w14:paraId="2305514E">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八、财政拨款“三公”经费支出决算情况说明</w:t>
      </w:r>
    </w:p>
    <w:p w14:paraId="7D70A9A5">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九、政府性基金预算财政拨款支出决算情况说明</w:t>
      </w:r>
    </w:p>
    <w:p w14:paraId="32DB0822">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十、国有资本经营预算财政拨款支出决算情况说明</w:t>
      </w:r>
    </w:p>
    <w:p w14:paraId="602158B7">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十一、机关运行经费（公用经费）支出决算情况说明</w:t>
      </w:r>
    </w:p>
    <w:p w14:paraId="67F030E7">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十二、政府采购支出决算情况说明</w:t>
      </w:r>
    </w:p>
    <w:p w14:paraId="02D7D725">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十三、国有资产占用情况说明</w:t>
      </w:r>
    </w:p>
    <w:p w14:paraId="0F9FB573">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十四、预算绩效情况说明</w:t>
      </w:r>
    </w:p>
    <w:p w14:paraId="287D35E8">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第三部分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名词解释</w:t>
      </w:r>
    </w:p>
    <w:p w14:paraId="144B775F">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第四部分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决算公开联系方式及信息反馈渠道</w:t>
      </w:r>
    </w:p>
    <w:p w14:paraId="328277DA">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第五部分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部门决算表</w:t>
      </w:r>
    </w:p>
    <w:p w14:paraId="2DE972F6">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一、收入支出决算总表</w:t>
      </w:r>
    </w:p>
    <w:p w14:paraId="4185AFF4">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二、收入决算表</w:t>
      </w:r>
    </w:p>
    <w:p w14:paraId="26E0C410">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三、支出决算表</w:t>
      </w:r>
    </w:p>
    <w:p w14:paraId="5647E54E">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四、财政拨款收入支出决算总表</w:t>
      </w:r>
    </w:p>
    <w:p w14:paraId="22BD0311">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五、一般公共预算财政拨款支出决算表</w:t>
      </w:r>
    </w:p>
    <w:p w14:paraId="096A7F36">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六、一般公共预算财政拨款基本支出决算明细表</w:t>
      </w:r>
    </w:p>
    <w:p w14:paraId="503A00E7">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七、一般公共预算财政拨款项目支出决算明细表</w:t>
      </w:r>
    </w:p>
    <w:p w14:paraId="5C682C83">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八、政府性基金预算财政拨款收入支出决算表</w:t>
      </w:r>
    </w:p>
    <w:p w14:paraId="5DA92E78">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九、国有资本经营预算财政拨款收入支出决算表</w:t>
      </w:r>
    </w:p>
    <w:p w14:paraId="55D1FBE7">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十、财政拨款“三公”经费支出决算表</w:t>
      </w:r>
    </w:p>
    <w:p w14:paraId="41FDDC93">
      <w:pPr>
        <w:pStyle w:val="31"/>
        <w:keepNext w:val="0"/>
        <w:keepLines w:val="0"/>
        <w:pageBreakBefore w:val="0"/>
        <w:widowControl/>
        <w:kinsoku/>
        <w:wordWrap/>
        <w:overflowPunct/>
        <w:topLinePunct w:val="0"/>
        <w:autoSpaceDE/>
        <w:autoSpaceDN/>
        <w:bidi w:val="0"/>
        <w:adjustRightInd/>
        <w:snapToGrid/>
        <w:spacing w:before="240" w:after="240" w:line="520" w:lineRule="exact"/>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十一、机关运行经费支出、国有资产占用情况及政府采购支出信息表</w:t>
      </w:r>
    </w:p>
    <w:p w14:paraId="0B5C382B">
      <w:pPr>
        <w:pStyle w:val="3"/>
        <w:keepNext w:val="0"/>
        <w:keepLines w:val="0"/>
        <w:pageBreakBefore w:val="0"/>
        <w:widowControl/>
        <w:kinsoku/>
        <w:wordWrap/>
        <w:overflowPunct/>
        <w:topLinePunct w:val="0"/>
        <w:autoSpaceDE/>
        <w:autoSpaceDN/>
        <w:bidi w:val="0"/>
        <w:spacing w:before="0" w:after="0" w:line="560" w:lineRule="exact"/>
        <w:ind w:left="0" w:right="0"/>
        <w:jc w:val="center"/>
        <w:rPr>
          <w:rFonts w:ascii="Times New Roman" w:hAnsi="Times New Roman" w:eastAsia="Times New Roman" w:cs="Times New Roman"/>
          <w:b/>
          <w:bCs/>
          <w:kern w:val="0"/>
          <w:sz w:val="36"/>
          <w:szCs w:val="36"/>
          <w:u w:val="none" w:color="auto"/>
        </w:rPr>
      </w:pPr>
      <w:r>
        <w:rPr>
          <w:rFonts w:ascii="方正小标宋简体" w:hAnsi="方正小标宋简体" w:eastAsia="方正小标宋简体" w:cs="方正小标宋简体"/>
          <w:b w:val="0"/>
          <w:bCs w:val="0"/>
          <w:kern w:val="0"/>
          <w:sz w:val="36"/>
          <w:szCs w:val="36"/>
          <w:u w:val="none" w:color="auto"/>
        </w:rPr>
        <w:t>第一部分</w:t>
      </w:r>
      <w:r>
        <w:rPr>
          <w:rFonts w:ascii="方正小标宋简体" w:hAnsi="方正小标宋简体" w:eastAsia="方正小标宋简体" w:cs="方正小标宋简体"/>
          <w:b w:val="0"/>
          <w:bCs w:val="0"/>
          <w:kern w:val="0"/>
          <w:sz w:val="36"/>
          <w:szCs w:val="36"/>
          <w:u w:val="none" w:color="auto"/>
          <w:lang w:eastAsia="en-US"/>
        </w:rPr>
        <w:t xml:space="preserve">  </w:t>
      </w:r>
      <w:r>
        <w:rPr>
          <w:rFonts w:ascii="方正小标宋简体" w:hAnsi="方正小标宋简体" w:eastAsia="方正小标宋简体" w:cs="方正小标宋简体"/>
          <w:b w:val="0"/>
          <w:bCs w:val="0"/>
          <w:kern w:val="0"/>
          <w:sz w:val="36"/>
          <w:szCs w:val="36"/>
          <w:u w:val="none" w:color="auto"/>
        </w:rPr>
        <w:t>部门概况</w:t>
      </w:r>
    </w:p>
    <w:p w14:paraId="6F4E084E">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一、主要职能、职责</w:t>
      </w:r>
    </w:p>
    <w:p w14:paraId="3AB60A94">
      <w:pPr>
        <w:keepNext w:val="0"/>
        <w:keepLines w:val="0"/>
        <w:pageBreakBefore w:val="0"/>
        <w:kinsoku/>
        <w:wordWrap/>
        <w:overflowPunct/>
        <w:topLinePunct w:val="0"/>
        <w:autoSpaceDE/>
        <w:autoSpaceDN/>
        <w:bidi w:val="0"/>
        <w:spacing w:line="560" w:lineRule="exact"/>
        <w:ind w:firstLine="640" w:firstLineChars="200"/>
        <w:jc w:val="both"/>
        <w:rPr>
          <w:rFonts w:hint="eastAsia" w:ascii="方正楷体_GB2312" w:hAnsi="方正楷体_GB2312" w:eastAsia="方正楷体_GB2312" w:cs="方正楷体_GB2312"/>
          <w:kern w:val="2"/>
          <w:sz w:val="32"/>
          <w:u w:val="none" w:color="auto"/>
        </w:rPr>
      </w:pPr>
      <w:r>
        <w:rPr>
          <w:rFonts w:hint="eastAsia" w:ascii="方正楷体_GB2312" w:hAnsi="方正楷体_GB2312" w:eastAsia="方正楷体_GB2312" w:cs="方正楷体_GB2312"/>
          <w:kern w:val="2"/>
          <w:sz w:val="32"/>
          <w:u w:val="none" w:color="auto"/>
        </w:rPr>
        <w:t>（一）部门职能</w:t>
      </w:r>
    </w:p>
    <w:p w14:paraId="5F338D4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巴彦淖尔市卫生健康委员会是贯彻落实党中央关于卫生健康工作方针政策和自治区党委、市委相关决策部署，在履行职责过程中坚持和加强党对卫生健康工作和集中统一领导的人民政府工作部门。</w:t>
      </w:r>
    </w:p>
    <w:p w14:paraId="7581147F">
      <w:pPr>
        <w:keepNext w:val="0"/>
        <w:keepLines w:val="0"/>
        <w:pageBreakBefore w:val="0"/>
        <w:kinsoku/>
        <w:wordWrap/>
        <w:overflowPunct/>
        <w:topLinePunct w:val="0"/>
        <w:autoSpaceDE/>
        <w:autoSpaceDN/>
        <w:bidi w:val="0"/>
        <w:spacing w:line="560" w:lineRule="exact"/>
        <w:ind w:firstLine="640" w:firstLineChars="200"/>
        <w:jc w:val="both"/>
        <w:rPr>
          <w:rFonts w:hint="eastAsia" w:ascii="方正楷体_GB2312" w:hAnsi="方正楷体_GB2312" w:eastAsia="方正楷体_GB2312" w:cs="方正楷体_GB2312"/>
          <w:kern w:val="2"/>
          <w:sz w:val="32"/>
          <w:u w:val="none" w:color="auto"/>
        </w:rPr>
      </w:pPr>
      <w:r>
        <w:rPr>
          <w:rFonts w:hint="eastAsia" w:ascii="方正楷体_GB2312" w:hAnsi="方正楷体_GB2312" w:eastAsia="方正楷体_GB2312" w:cs="方正楷体_GB2312"/>
          <w:kern w:val="2"/>
          <w:sz w:val="32"/>
          <w:u w:val="none" w:color="auto"/>
        </w:rPr>
        <w:t>（二）部门主要职责</w:t>
      </w:r>
    </w:p>
    <w:p w14:paraId="256AB5D5">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贯彻落实有关卫生健康事业发展法律法规、政策、规划，研究拟定全市卫生健康政策并组织实施。统筹规划卫生健康资源配置，指导区域卫生健康规划的编制和实施。制定并组织实施推进卫生健康基本公共服务均等化、普惠化、便捷化和公共资源向基层延伸等政策措施。</w:t>
      </w:r>
    </w:p>
    <w:p w14:paraId="62FA4F40">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协调推进深化医药卫生体制改革，研究提出深化医药卫生体制改革重大方针、政策、措施的建议，组织深化公立医院综合改革，推进管办分离，健全现代医院管理制度，制定并组织实施推动卫生健康公共服务提供主体多元化、提供方式多样化的政策措施，提出医疗服务和药品价格政策的建议。</w:t>
      </w:r>
    </w:p>
    <w:p w14:paraId="478BDE6C">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制定并组织落实疾病预防控制规划以及严重危害人民健康公共卫生问题的干预措施，实施国家免疫规划，负责卫生应急工作，组织指导突发公共卫生事件的预防控制和各类突发公共事件的医疗卫生救援，牵头全市《烟草控制框架公约》履约工作。组织开展食品安全风险监测评估。</w:t>
      </w:r>
    </w:p>
    <w:p w14:paraId="55F6695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4、参与拟订并协调落实应对人口老龄化各项政策措施，负责推进全市老年健康服务体系建设和医养结合工作。</w:t>
      </w:r>
    </w:p>
    <w:p w14:paraId="637BDC1A">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5、贯彻落实国家和自治区药物政策和基本药物制度。</w:t>
      </w:r>
    </w:p>
    <w:p w14:paraId="3412210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6、负责职业范围内的职业卫生、放射卫生、环境卫生、学校卫生、公共场所卫生、饮用水卫生等公共卫生的监督管理，负责全市传染病防治监督，健全卫生健康综合监督体系。</w:t>
      </w:r>
    </w:p>
    <w:p w14:paraId="5BA68587">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7、制定医疗机构、医疗服务行业管理办法并监督实施，建立医疗服务评价和监督管理体系。会同有关部门指导实施卫生健康专业技术人员资格标准。组织实施医疗服务规范、标准和卫生健康专业技术人员执业规则、服务规范。</w:t>
      </w:r>
    </w:p>
    <w:p w14:paraId="767D4A3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8、负责计划生育管理和服务工作，开展人口监测预警，研究提出人口与家庭发展相关政策建议，组织实施计划生育有关政策。</w:t>
      </w:r>
    </w:p>
    <w:p w14:paraId="2C5F08FE">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9、指导基层医疗卫生、妇幼健康服务体系和全科医生队伍建设，推进卫生健康科技创新发展。</w:t>
      </w:r>
    </w:p>
    <w:p w14:paraId="0DA26A1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10、保障和促进蒙医药中医药医疗、保健、教育、科研、文化及相关产业的改革发展与对外交流合作，推进蒙医药中医药传承创新和振兴发展。</w:t>
      </w:r>
    </w:p>
    <w:p w14:paraId="1D4FAD4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11、负责全市保健对象的医疗保健工作，承担全市重要会议与重大活动的医疗卫生保障任务。</w:t>
      </w:r>
    </w:p>
    <w:p w14:paraId="41A2813F">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12、负责全市老年健康工作。</w:t>
      </w:r>
    </w:p>
    <w:p w14:paraId="67A3584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13、完成市委、政府交办的其他任务。</w:t>
      </w:r>
    </w:p>
    <w:p w14:paraId="7452DEFD">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二、部门机构设置及决算单位构成情况</w:t>
      </w:r>
    </w:p>
    <w:p w14:paraId="4CA1CDAD">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1.</w:t>
      </w:r>
      <w:r>
        <w:rPr>
          <w:rFonts w:hint="eastAsia" w:ascii="仿宋_GB2312" w:hAnsi="仿宋_GB2312" w:eastAsia="仿宋_GB2312" w:cs="仿宋_GB2312"/>
          <w:kern w:val="2"/>
          <w:sz w:val="32"/>
          <w:szCs w:val="32"/>
          <w:highlight w:val="none"/>
          <w:lang w:val="en-US" w:eastAsia="zh-CN" w:bidi="ar-SA"/>
        </w:rPr>
        <w:t>根据部门职责分工，本部门内设机构包括巴彦淖尔市卫生健康委员会本级决算和8个所属事业单位决算。本部门下属单位包括：巴彦淖尔市医院、北京中医医院内蒙古医院、巴彦淖尔市蒙医医院、巴彦淖尔市疾病预防控制中心、巴彦淖尔市中心血站、巴彦淖尔市第二医院、巴彦淖尔市妇幼保健计划生育服务中心、巴彦淖尔市卫生健康事业发展中心。</w:t>
      </w:r>
    </w:p>
    <w:p w14:paraId="21089EE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2.</w:t>
      </w:r>
      <w:r>
        <w:rPr>
          <w:rFonts w:hint="eastAsia" w:ascii="仿宋_GB2312" w:hAnsi="仿宋_GB2312" w:eastAsia="仿宋_GB2312" w:cs="仿宋_GB2312"/>
          <w:kern w:val="2"/>
          <w:sz w:val="32"/>
          <w:szCs w:val="32"/>
          <w:highlight w:val="none"/>
          <w:lang w:val="en-US" w:eastAsia="zh-CN" w:bidi="ar-SA"/>
        </w:rPr>
        <w:t>从决算单位构成看，纳入本部门决算编制范围的预算单位共计9家，具体包括：巴彦淖尔市卫生健康委员会部门本级、巴彦淖尔市医院、巴彦淖尔市中医医院、巴彦淖尔市蒙医医院、巴彦淖尔市疾病预防控制中心、巴彦淖尔市中心血站、巴彦淖尔市第二医院、巴彦淖尔市妇幼保健计划生育服务中心、巴彦淖尔市卫生健康事业发展中心。详细情况见表：</w:t>
      </w:r>
    </w:p>
    <w:tbl>
      <w:tblPr>
        <w:tblStyle w:val="19"/>
        <w:tblW w:w="921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7"/>
        <w:gridCol w:w="3981"/>
        <w:gridCol w:w="4371"/>
      </w:tblGrid>
      <w:tr w14:paraId="23F72F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0998614A">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序号</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2F714117">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单位名称</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02EE1ABE">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单位性质</w:t>
            </w:r>
          </w:p>
        </w:tc>
      </w:tr>
      <w:tr w14:paraId="36B8EC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17CE7C3C">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Times New Roman"/>
                <w:color w:val="000000"/>
                <w:sz w:val="31"/>
                <w:szCs w:val="24"/>
                <w:u w:val="none" w:color="auto"/>
              </w:rPr>
            </w:pPr>
            <w:r>
              <w:rPr>
                <w:rFonts w:hint="default" w:ascii="Times New Roman" w:hAnsi="Times New Roman" w:eastAsia="Times New Roman"/>
                <w:color w:val="000000"/>
                <w:sz w:val="31"/>
                <w:szCs w:val="24"/>
                <w:u w:val="none" w:color="auto"/>
              </w:rPr>
              <w:t>1</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02A7CD25">
            <w:pPr>
              <w:keepNext w:val="0"/>
              <w:keepLines w:val="0"/>
              <w:pageBreakBefore w:val="0"/>
              <w:kinsoku/>
              <w:wordWrap/>
              <w:overflowPunct/>
              <w:topLinePunct w:val="0"/>
              <w:autoSpaceDE/>
              <w:autoSpaceDN/>
              <w:bidi w:val="0"/>
              <w:spacing w:line="560" w:lineRule="exact"/>
              <w:jc w:val="both"/>
              <w:rPr>
                <w:rFonts w:hint="default" w:ascii="Times New Roman" w:hAnsi="Times New Roman" w:eastAsia="宋体"/>
                <w:color w:val="000000"/>
                <w:sz w:val="31"/>
                <w:szCs w:val="24"/>
                <w:u w:val="none" w:color="auto"/>
                <w:lang w:val="en-US" w:eastAsia="zh-CN"/>
              </w:rPr>
            </w:pPr>
            <w:r>
              <w:rPr>
                <w:rFonts w:hint="eastAsia" w:ascii="仿宋_GB2312" w:hAnsi="仿宋_GB2312" w:eastAsia="仿宋_GB2312"/>
                <w:color w:val="000000"/>
                <w:sz w:val="31"/>
                <w:szCs w:val="24"/>
                <w:u w:val="none" w:color="auto"/>
                <w:lang w:val="en-US" w:eastAsia="zh-CN"/>
              </w:rPr>
              <w:t>巴彦淖尔市卫生</w:t>
            </w:r>
            <w:r>
              <w:rPr>
                <w:rFonts w:hint="eastAsia" w:ascii="仿宋_GB2312" w:hAnsi="仿宋_GB2312" w:eastAsia="仿宋_GB2312"/>
                <w:color w:val="auto"/>
                <w:kern w:val="2"/>
                <w:sz w:val="32"/>
                <w:szCs w:val="24"/>
                <w:u w:val="none" w:color="auto"/>
                <w:lang w:val="en-US" w:eastAsia="zh-CN"/>
              </w:rPr>
              <w:t>健康委员会</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04D5FE6A">
            <w:pPr>
              <w:keepNext w:val="0"/>
              <w:keepLines w:val="0"/>
              <w:pageBreakBefore w:val="0"/>
              <w:kinsoku/>
              <w:wordWrap/>
              <w:overflowPunct/>
              <w:topLinePunct w:val="0"/>
              <w:autoSpaceDE/>
              <w:autoSpaceDN/>
              <w:bidi w:val="0"/>
              <w:spacing w:line="560" w:lineRule="exact"/>
              <w:jc w:val="both"/>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财政拨款的行政单位</w:t>
            </w:r>
          </w:p>
        </w:tc>
      </w:tr>
      <w:tr w14:paraId="54C6D2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26DAAE62">
            <w:pPr>
              <w:keepNext w:val="0"/>
              <w:keepLines w:val="0"/>
              <w:pageBreakBefore w:val="0"/>
              <w:kinsoku/>
              <w:wordWrap/>
              <w:overflowPunct/>
              <w:topLinePunct w:val="0"/>
              <w:autoSpaceDE/>
              <w:autoSpaceDN/>
              <w:bidi w:val="0"/>
              <w:spacing w:line="560" w:lineRule="exact"/>
              <w:jc w:val="center"/>
              <w:rPr>
                <w:rFonts w:hint="eastAsia" w:ascii="Times New Roman" w:hAnsi="Times New Roman" w:eastAsia="宋体"/>
                <w:color w:val="000000"/>
                <w:sz w:val="31"/>
                <w:szCs w:val="24"/>
                <w:u w:val="none" w:color="auto"/>
                <w:lang w:val="en-US" w:eastAsia="zh-CN"/>
              </w:rPr>
            </w:pPr>
            <w:r>
              <w:rPr>
                <w:rFonts w:hint="eastAsia" w:eastAsia="宋体"/>
                <w:color w:val="000000"/>
                <w:sz w:val="31"/>
                <w:szCs w:val="24"/>
                <w:u w:val="none" w:color="auto"/>
                <w:lang w:val="en-US" w:eastAsia="zh-CN"/>
              </w:rPr>
              <w:t>2</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633B5CE1">
            <w:pPr>
              <w:keepNext w:val="0"/>
              <w:keepLines w:val="0"/>
              <w:pageBreakBefore w:val="0"/>
              <w:kinsoku/>
              <w:wordWrap/>
              <w:overflowPunct/>
              <w:topLinePunct w:val="0"/>
              <w:autoSpaceDE/>
              <w:autoSpaceDN/>
              <w:bidi w:val="0"/>
              <w:spacing w:line="560" w:lineRule="exact"/>
              <w:jc w:val="both"/>
              <w:rPr>
                <w:rFonts w:hint="default" w:ascii="Times New Roman" w:hAnsi="Times New Roman" w:eastAsia="Times New Roman"/>
                <w:color w:val="000000"/>
                <w:sz w:val="31"/>
                <w:szCs w:val="24"/>
                <w:u w:val="none" w:color="auto"/>
              </w:rPr>
            </w:pPr>
            <w:r>
              <w:rPr>
                <w:rFonts w:hint="eastAsia" w:ascii="仿宋_GB2312" w:hAnsi="仿宋_GB2312" w:eastAsia="仿宋_GB2312"/>
                <w:sz w:val="32"/>
                <w:szCs w:val="24"/>
                <w:u w:val="none" w:color="auto"/>
              </w:rPr>
              <w:t>巴彦淖尔市医院</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62F97799">
            <w:pPr>
              <w:keepNext w:val="0"/>
              <w:keepLines w:val="0"/>
              <w:pageBreakBefore w:val="0"/>
              <w:kinsoku/>
              <w:wordWrap/>
              <w:overflowPunct/>
              <w:topLinePunct w:val="0"/>
              <w:autoSpaceDE/>
              <w:autoSpaceDN/>
              <w:bidi w:val="0"/>
              <w:spacing w:line="560" w:lineRule="exact"/>
              <w:jc w:val="both"/>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公益</w:t>
            </w:r>
            <w:r>
              <w:rPr>
                <w:rFonts w:hint="eastAsia" w:ascii="仿宋_GB2312" w:hAnsi="仿宋_GB2312" w:eastAsia="仿宋_GB2312"/>
                <w:color w:val="000000"/>
                <w:sz w:val="31"/>
                <w:szCs w:val="24"/>
                <w:u w:val="none" w:color="auto"/>
                <w:lang w:val="en-US" w:eastAsia="zh-CN"/>
              </w:rPr>
              <w:t>二</w:t>
            </w:r>
            <w:r>
              <w:rPr>
                <w:rFonts w:hint="eastAsia" w:ascii="仿宋_GB2312" w:hAnsi="仿宋_GB2312" w:eastAsia="仿宋_GB2312"/>
                <w:color w:val="000000"/>
                <w:sz w:val="31"/>
                <w:szCs w:val="24"/>
                <w:u w:val="none" w:color="auto"/>
              </w:rPr>
              <w:t>类事业单位</w:t>
            </w:r>
          </w:p>
        </w:tc>
      </w:tr>
      <w:tr w14:paraId="37D4A9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5E0BF27B">
            <w:pPr>
              <w:keepNext w:val="0"/>
              <w:keepLines w:val="0"/>
              <w:pageBreakBefore w:val="0"/>
              <w:kinsoku/>
              <w:wordWrap/>
              <w:overflowPunct/>
              <w:topLinePunct w:val="0"/>
              <w:autoSpaceDE/>
              <w:autoSpaceDN/>
              <w:bidi w:val="0"/>
              <w:spacing w:line="560" w:lineRule="exact"/>
              <w:jc w:val="center"/>
              <w:rPr>
                <w:rFonts w:hint="eastAsia" w:ascii="Times New Roman" w:hAnsi="Times New Roman" w:eastAsia="宋体"/>
                <w:color w:val="000000"/>
                <w:sz w:val="31"/>
                <w:szCs w:val="24"/>
                <w:u w:val="none" w:color="auto"/>
                <w:lang w:val="en-US" w:eastAsia="zh-CN"/>
              </w:rPr>
            </w:pPr>
            <w:r>
              <w:rPr>
                <w:rFonts w:hint="eastAsia" w:eastAsia="宋体"/>
                <w:color w:val="000000"/>
                <w:sz w:val="31"/>
                <w:szCs w:val="24"/>
                <w:u w:val="none" w:color="auto"/>
                <w:lang w:val="en-US" w:eastAsia="zh-CN"/>
              </w:rPr>
              <w:t>3</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3FE9FD3F">
            <w:pPr>
              <w:keepNext w:val="0"/>
              <w:keepLines w:val="0"/>
              <w:pageBreakBefore w:val="0"/>
              <w:kinsoku/>
              <w:wordWrap/>
              <w:overflowPunct/>
              <w:topLinePunct w:val="0"/>
              <w:autoSpaceDE/>
              <w:autoSpaceDN/>
              <w:bidi w:val="0"/>
              <w:spacing w:line="560" w:lineRule="exact"/>
              <w:jc w:val="both"/>
              <w:rPr>
                <w:rFonts w:hint="default" w:ascii="Times New Roman" w:hAnsi="Times New Roman" w:eastAsia="Times New Roman"/>
                <w:color w:val="000000"/>
                <w:sz w:val="31"/>
                <w:szCs w:val="24"/>
                <w:u w:val="none" w:color="auto"/>
              </w:rPr>
            </w:pPr>
            <w:r>
              <w:rPr>
                <w:rFonts w:hint="eastAsia" w:ascii="仿宋_GB2312" w:hAnsi="仿宋_GB2312" w:eastAsia="仿宋_GB2312"/>
                <w:sz w:val="32"/>
                <w:szCs w:val="24"/>
                <w:u w:val="none" w:color="auto"/>
                <w:lang w:val="en-US" w:eastAsia="zh-CN"/>
              </w:rPr>
              <w:t>北京</w:t>
            </w:r>
            <w:r>
              <w:rPr>
                <w:rFonts w:hint="eastAsia" w:ascii="仿宋_GB2312" w:hAnsi="仿宋_GB2312" w:eastAsia="仿宋_GB2312"/>
                <w:sz w:val="32"/>
                <w:szCs w:val="24"/>
                <w:u w:val="none" w:color="auto"/>
              </w:rPr>
              <w:t>中医医院</w:t>
            </w:r>
            <w:r>
              <w:rPr>
                <w:rFonts w:hint="eastAsia" w:ascii="仿宋_GB2312" w:hAnsi="仿宋_GB2312" w:eastAsia="仿宋_GB2312"/>
                <w:sz w:val="32"/>
                <w:szCs w:val="24"/>
                <w:u w:val="none" w:color="auto"/>
                <w:lang w:val="en-US" w:eastAsia="zh-CN"/>
              </w:rPr>
              <w:t>内蒙古医院</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320B0FFE">
            <w:pPr>
              <w:keepNext w:val="0"/>
              <w:keepLines w:val="0"/>
              <w:pageBreakBefore w:val="0"/>
              <w:kinsoku/>
              <w:wordWrap/>
              <w:overflowPunct/>
              <w:topLinePunct w:val="0"/>
              <w:autoSpaceDE/>
              <w:autoSpaceDN/>
              <w:bidi w:val="0"/>
              <w:spacing w:line="560" w:lineRule="exact"/>
              <w:jc w:val="both"/>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公益</w:t>
            </w:r>
            <w:r>
              <w:rPr>
                <w:rFonts w:hint="eastAsia" w:ascii="仿宋_GB2312" w:hAnsi="仿宋_GB2312" w:eastAsia="仿宋_GB2312"/>
                <w:color w:val="000000"/>
                <w:sz w:val="31"/>
                <w:szCs w:val="24"/>
                <w:u w:val="none" w:color="auto"/>
                <w:lang w:val="en-US" w:eastAsia="zh-CN"/>
              </w:rPr>
              <w:t>二</w:t>
            </w:r>
            <w:r>
              <w:rPr>
                <w:rFonts w:hint="eastAsia" w:ascii="仿宋_GB2312" w:hAnsi="仿宋_GB2312" w:eastAsia="仿宋_GB2312"/>
                <w:color w:val="000000"/>
                <w:sz w:val="31"/>
                <w:szCs w:val="24"/>
                <w:u w:val="none" w:color="auto"/>
              </w:rPr>
              <w:t>类事业单位</w:t>
            </w:r>
          </w:p>
        </w:tc>
      </w:tr>
      <w:tr w14:paraId="0C468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6D7D2CD5">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宋体"/>
                <w:color w:val="000000"/>
                <w:sz w:val="31"/>
                <w:szCs w:val="24"/>
                <w:u w:val="none" w:color="auto"/>
                <w:lang w:val="en-US" w:eastAsia="zh-CN"/>
              </w:rPr>
            </w:pPr>
            <w:r>
              <w:rPr>
                <w:rFonts w:hint="eastAsia"/>
                <w:color w:val="000000"/>
                <w:sz w:val="31"/>
                <w:szCs w:val="24"/>
                <w:u w:val="none" w:color="auto"/>
                <w:lang w:val="en-US" w:eastAsia="zh-CN"/>
              </w:rPr>
              <w:t>4</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678D69EE">
            <w:pPr>
              <w:keepNext w:val="0"/>
              <w:keepLines w:val="0"/>
              <w:pageBreakBefore w:val="0"/>
              <w:kinsoku/>
              <w:wordWrap/>
              <w:overflowPunct/>
              <w:topLinePunct w:val="0"/>
              <w:autoSpaceDE/>
              <w:autoSpaceDN/>
              <w:bidi w:val="0"/>
              <w:spacing w:line="560" w:lineRule="exact"/>
              <w:jc w:val="both"/>
              <w:rPr>
                <w:rFonts w:hint="default" w:ascii="仿宋_GB2312" w:hAnsi="仿宋_GB2312" w:eastAsia="仿宋_GB2312"/>
                <w:color w:val="000000"/>
                <w:sz w:val="31"/>
                <w:szCs w:val="24"/>
                <w:u w:val="none" w:color="auto"/>
                <w:lang w:val="en-US" w:eastAsia="zh-CN"/>
              </w:rPr>
            </w:pPr>
            <w:r>
              <w:rPr>
                <w:rFonts w:hint="eastAsia" w:ascii="仿宋_GB2312" w:hAnsi="仿宋_GB2312" w:eastAsia="仿宋_GB2312"/>
                <w:sz w:val="32"/>
                <w:szCs w:val="24"/>
                <w:u w:val="none" w:color="auto"/>
              </w:rPr>
              <w:t>巴彦淖尔市蒙医医院</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56FC2D5A">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color w:val="000000"/>
                <w:sz w:val="31"/>
                <w:szCs w:val="24"/>
                <w:u w:val="none" w:color="auto"/>
              </w:rPr>
              <w:t>公益</w:t>
            </w:r>
            <w:r>
              <w:rPr>
                <w:rFonts w:hint="eastAsia" w:ascii="仿宋_GB2312" w:hAnsi="仿宋_GB2312" w:eastAsia="仿宋_GB2312"/>
                <w:color w:val="000000"/>
                <w:sz w:val="31"/>
                <w:szCs w:val="24"/>
                <w:u w:val="none" w:color="auto"/>
                <w:lang w:val="en-US" w:eastAsia="zh-CN"/>
              </w:rPr>
              <w:t>二</w:t>
            </w:r>
            <w:r>
              <w:rPr>
                <w:rFonts w:hint="eastAsia" w:ascii="仿宋_GB2312" w:hAnsi="仿宋_GB2312" w:eastAsia="仿宋_GB2312"/>
                <w:color w:val="000000"/>
                <w:sz w:val="31"/>
                <w:szCs w:val="24"/>
                <w:u w:val="none" w:color="auto"/>
              </w:rPr>
              <w:t>类事业单位</w:t>
            </w:r>
          </w:p>
        </w:tc>
      </w:tr>
      <w:tr w14:paraId="7BCA1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7F4127EE">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宋体"/>
                <w:color w:val="000000"/>
                <w:sz w:val="31"/>
                <w:szCs w:val="24"/>
                <w:u w:val="none" w:color="auto"/>
                <w:lang w:val="en-US" w:eastAsia="zh-CN"/>
              </w:rPr>
            </w:pPr>
            <w:r>
              <w:rPr>
                <w:rFonts w:hint="eastAsia"/>
                <w:color w:val="000000"/>
                <w:sz w:val="31"/>
                <w:szCs w:val="24"/>
                <w:u w:val="none" w:color="auto"/>
                <w:lang w:val="en-US" w:eastAsia="zh-CN"/>
              </w:rPr>
              <w:t>5</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36A4D32E">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sz w:val="32"/>
                <w:szCs w:val="24"/>
                <w:u w:val="none" w:color="auto"/>
              </w:rPr>
              <w:t>巴彦淖尔市疾病预防控制中心</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67C54389">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color w:val="000000"/>
                <w:sz w:val="31"/>
                <w:szCs w:val="24"/>
                <w:u w:val="none" w:color="auto"/>
              </w:rPr>
              <w:t>公益一类事业单位</w:t>
            </w:r>
          </w:p>
        </w:tc>
      </w:tr>
      <w:tr w14:paraId="2FA069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53E13DBD">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宋体"/>
                <w:color w:val="000000"/>
                <w:sz w:val="31"/>
                <w:szCs w:val="24"/>
                <w:u w:val="none" w:color="auto"/>
                <w:lang w:val="en-US" w:eastAsia="zh-CN"/>
              </w:rPr>
            </w:pPr>
            <w:r>
              <w:rPr>
                <w:rFonts w:hint="eastAsia"/>
                <w:color w:val="000000"/>
                <w:sz w:val="31"/>
                <w:szCs w:val="24"/>
                <w:u w:val="none" w:color="auto"/>
                <w:lang w:val="en-US" w:eastAsia="zh-CN"/>
              </w:rPr>
              <w:t>6</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2EAB2EEB">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sz w:val="32"/>
                <w:szCs w:val="24"/>
                <w:u w:val="none" w:color="auto"/>
              </w:rPr>
              <w:t>巴彦淖尔市中心血站</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0B4175AD">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color w:val="000000"/>
                <w:sz w:val="31"/>
                <w:szCs w:val="24"/>
                <w:u w:val="none" w:color="auto"/>
              </w:rPr>
              <w:t>公益一类事业单位</w:t>
            </w:r>
          </w:p>
        </w:tc>
      </w:tr>
      <w:tr w14:paraId="560721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21E91D90">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宋体"/>
                <w:color w:val="000000"/>
                <w:sz w:val="31"/>
                <w:szCs w:val="24"/>
                <w:u w:val="none" w:color="auto"/>
                <w:lang w:val="en-US" w:eastAsia="zh-CN"/>
              </w:rPr>
            </w:pPr>
            <w:r>
              <w:rPr>
                <w:rFonts w:hint="eastAsia"/>
                <w:color w:val="000000"/>
                <w:sz w:val="31"/>
                <w:szCs w:val="24"/>
                <w:u w:val="none" w:color="auto"/>
                <w:lang w:val="en-US" w:eastAsia="zh-CN"/>
              </w:rPr>
              <w:t>7</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416A2D82">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sz w:val="32"/>
                <w:szCs w:val="24"/>
                <w:u w:val="none" w:color="auto"/>
              </w:rPr>
              <w:t>巴彦淖尔市第二医院</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1DFED0B7">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color w:val="000000"/>
                <w:sz w:val="31"/>
                <w:szCs w:val="24"/>
                <w:u w:val="none" w:color="auto"/>
              </w:rPr>
              <w:t>公益一类事业单位</w:t>
            </w:r>
          </w:p>
        </w:tc>
      </w:tr>
      <w:tr w14:paraId="5640E9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6934E922">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宋体"/>
                <w:color w:val="000000"/>
                <w:sz w:val="31"/>
                <w:szCs w:val="24"/>
                <w:u w:val="none" w:color="auto"/>
                <w:lang w:val="en-US" w:eastAsia="zh-CN"/>
              </w:rPr>
            </w:pPr>
            <w:r>
              <w:rPr>
                <w:rFonts w:hint="eastAsia"/>
                <w:color w:val="000000"/>
                <w:sz w:val="31"/>
                <w:szCs w:val="24"/>
                <w:u w:val="none" w:color="auto"/>
                <w:lang w:val="en-US" w:eastAsia="zh-CN"/>
              </w:rPr>
              <w:t>8</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32616774">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sz w:val="32"/>
                <w:szCs w:val="24"/>
                <w:u w:val="none" w:color="auto"/>
              </w:rPr>
              <w:t>巴彦淖尔市妇幼保健计划生育服务中心</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6519BBF7">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color w:val="000000"/>
                <w:sz w:val="31"/>
                <w:szCs w:val="24"/>
                <w:u w:val="none" w:color="auto"/>
              </w:rPr>
              <w:t>公益一类事业单位</w:t>
            </w:r>
          </w:p>
        </w:tc>
      </w:tr>
      <w:tr w14:paraId="6D2CC2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867" w:type="dxa"/>
            <w:tcBorders>
              <w:top w:val="single" w:color="auto" w:sz="6" w:space="0"/>
              <w:left w:val="single" w:color="auto" w:sz="6" w:space="0"/>
              <w:bottom w:val="single" w:color="auto" w:sz="6" w:space="0"/>
              <w:right w:val="single" w:color="auto" w:sz="6" w:space="0"/>
              <w:tl2br w:val="nil"/>
              <w:tr2bl w:val="nil"/>
            </w:tcBorders>
            <w:noWrap w:val="0"/>
            <w:vAlign w:val="top"/>
          </w:tcPr>
          <w:p w14:paraId="43934DCB">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宋体"/>
                <w:color w:val="000000"/>
                <w:sz w:val="31"/>
                <w:szCs w:val="24"/>
                <w:u w:val="none" w:color="auto"/>
                <w:lang w:val="en-US" w:eastAsia="zh-CN"/>
              </w:rPr>
            </w:pPr>
            <w:r>
              <w:rPr>
                <w:rFonts w:hint="eastAsia"/>
                <w:color w:val="000000"/>
                <w:sz w:val="31"/>
                <w:szCs w:val="24"/>
                <w:u w:val="none" w:color="auto"/>
                <w:lang w:val="en-US" w:eastAsia="zh-CN"/>
              </w:rPr>
              <w:t>9</w:t>
            </w:r>
          </w:p>
        </w:tc>
        <w:tc>
          <w:tcPr>
            <w:tcW w:w="3981" w:type="dxa"/>
            <w:tcBorders>
              <w:top w:val="single" w:color="auto" w:sz="6" w:space="0"/>
              <w:left w:val="single" w:color="auto" w:sz="6" w:space="0"/>
              <w:bottom w:val="single" w:color="auto" w:sz="6" w:space="0"/>
              <w:right w:val="single" w:color="auto" w:sz="6" w:space="0"/>
              <w:tl2br w:val="nil"/>
              <w:tr2bl w:val="nil"/>
            </w:tcBorders>
            <w:noWrap w:val="0"/>
            <w:vAlign w:val="top"/>
          </w:tcPr>
          <w:p w14:paraId="1424A032">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sz w:val="32"/>
                <w:szCs w:val="24"/>
                <w:u w:val="none" w:color="auto"/>
              </w:rPr>
              <w:t>巴彦淖尔市</w:t>
            </w:r>
            <w:r>
              <w:rPr>
                <w:rFonts w:hint="eastAsia" w:ascii="仿宋_GB2312" w:hAnsi="仿宋_GB2312" w:eastAsia="仿宋_GB2312"/>
                <w:sz w:val="32"/>
                <w:szCs w:val="24"/>
                <w:u w:val="none" w:color="auto"/>
                <w:lang w:val="en-US" w:eastAsia="zh-CN"/>
              </w:rPr>
              <w:t>卫生健康事业发展中心</w:t>
            </w:r>
          </w:p>
        </w:tc>
        <w:tc>
          <w:tcPr>
            <w:tcW w:w="4371" w:type="dxa"/>
            <w:tcBorders>
              <w:top w:val="single" w:color="auto" w:sz="6" w:space="0"/>
              <w:left w:val="single" w:color="auto" w:sz="6" w:space="0"/>
              <w:bottom w:val="single" w:color="auto" w:sz="6" w:space="0"/>
              <w:right w:val="single" w:color="auto" w:sz="6" w:space="0"/>
              <w:tl2br w:val="nil"/>
              <w:tr2bl w:val="nil"/>
            </w:tcBorders>
            <w:noWrap w:val="0"/>
            <w:vAlign w:val="top"/>
          </w:tcPr>
          <w:p w14:paraId="48C7BF11">
            <w:pPr>
              <w:keepNext w:val="0"/>
              <w:keepLines w:val="0"/>
              <w:pageBreakBefore w:val="0"/>
              <w:kinsoku/>
              <w:wordWrap/>
              <w:overflowPunct/>
              <w:topLinePunct w:val="0"/>
              <w:autoSpaceDE/>
              <w:autoSpaceDN/>
              <w:bidi w:val="0"/>
              <w:spacing w:line="560" w:lineRule="exact"/>
              <w:jc w:val="both"/>
              <w:rPr>
                <w:rFonts w:hint="eastAsia" w:ascii="仿宋_GB2312" w:hAnsi="仿宋_GB2312" w:eastAsia="仿宋_GB2312"/>
                <w:color w:val="000000"/>
                <w:sz w:val="31"/>
                <w:szCs w:val="24"/>
                <w:u w:val="none" w:color="auto"/>
              </w:rPr>
            </w:pPr>
            <w:r>
              <w:rPr>
                <w:rFonts w:hint="eastAsia" w:ascii="仿宋_GB2312" w:hAnsi="仿宋_GB2312" w:eastAsia="仿宋_GB2312"/>
                <w:color w:val="000000"/>
                <w:sz w:val="31"/>
                <w:szCs w:val="24"/>
                <w:u w:val="none" w:color="auto"/>
              </w:rPr>
              <w:t>公益一类事业单位</w:t>
            </w:r>
          </w:p>
        </w:tc>
      </w:tr>
    </w:tbl>
    <w:p w14:paraId="2EA048F9">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三、</w:t>
      </w:r>
      <w:r>
        <w:rPr>
          <w:rFonts w:eastAsia="Times New Roman"/>
          <w:b/>
          <w:bCs/>
          <w:kern w:val="0"/>
          <w:sz w:val="32"/>
          <w:szCs w:val="32"/>
          <w:u w:val="none" w:color="auto"/>
          <w:lang w:eastAsia="en-US"/>
        </w:rPr>
        <w:t>2025</w:t>
      </w:r>
      <w:r>
        <w:rPr>
          <w:rFonts w:ascii="黑体" w:hAnsi="黑体" w:eastAsia="黑体" w:cs="黑体"/>
          <w:b/>
          <w:bCs/>
          <w:kern w:val="0"/>
          <w:sz w:val="32"/>
          <w:szCs w:val="32"/>
          <w:u w:val="none" w:color="auto"/>
        </w:rPr>
        <w:t>年度部门主要工作完成情况</w:t>
      </w:r>
    </w:p>
    <w:p w14:paraId="285DD10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color w:val="auto"/>
          <w:kern w:val="0"/>
          <w:sz w:val="32"/>
          <w:szCs w:val="32"/>
          <w:u w:val="none" w:color="auto"/>
          <w:lang w:eastAsia="en-US"/>
        </w:rPr>
      </w:pPr>
      <w:r>
        <w:rPr>
          <w:rFonts w:hint="eastAsia" w:ascii="方正楷体_GB2312" w:hAnsi="方正楷体_GB2312" w:eastAsia="方正楷体_GB2312" w:cs="方正楷体_GB2312"/>
          <w:color w:val="auto"/>
          <w:kern w:val="0"/>
          <w:sz w:val="32"/>
          <w:szCs w:val="32"/>
          <w:u w:val="none" w:color="auto"/>
          <w:lang w:eastAsia="en-US"/>
        </w:rPr>
        <w:t>（一）重点工作完成情况</w:t>
      </w:r>
    </w:p>
    <w:p w14:paraId="1B0E1DC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一是医药卫生体制改革稳步推进。建立了六部门“三医”协同“六方”联动专项改革工作机制，全面推广三明经验，制定并实施持续深化医药卫生体制改革三年行动方案，强化医疗价格、医保支付、人事编制等重点领域协同。完成608项医疗服务价格调整，公立医院医疗服务收入（不含药品、耗材、检验检查）占医疗收入比例达36.6%，较上年增长2%。</w:t>
      </w:r>
    </w:p>
    <w:p w14:paraId="7AD271E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二是紧密型县域医共体建设效能凸显。市级医共体监测信息管理系统上线运行，建成公卫数据质控系统，旗县区全部建成“资源共享五大中心”，完成远程诊断20.5万例，审核基层处方306.8万份，构建“基层检查、县级诊断、结果互认”的县域诊疗服务模式。临河区医共体信息化建设荣获国家现代医院管理典型案例，3个旗县获批上级项目资金6663万元。7个旗县区全部签订医共体医保总额付费协议，制定总额预算和拨付、结余留用与超支分担等配套措施。全年医共体内部下派专家325人次，为基层就诊患者提供诊疗服务5.2万余人次，让群众在家门口就近享受优质医疗服务。</w:t>
      </w:r>
    </w:p>
    <w:p w14:paraId="7036A812">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三是公立医院高质量发展全面加速。持续打造重点专科，结合地方疾病谱，聚焦群众就医需求大、异地转诊率高的病种，打造系统连续、功能互补的临床专科群。2025年，新获批2个自治区级临床重点专科。京蒙协作领域持续扩大，积极引入北京顶尖专科资源，累计邀请北京专家440余人次来我市开展诊疗指导，接诊疑难患者9000余人次，完成高难度手术4200余例，实施教学查房90余次，组织专题培训90余场，覆盖医务人员500余人次，开展远程会诊600余例，选派35名骨干人员赴北京进修学习。推进城市医疗集团、巡回医疗、对口帮扶等工作，推动三级医院医师以坐诊、会诊、查房、讲座和带教等多种方式帮扶基层，逐步提升基层医疗机构业务能力，累计下沉260人次，开展诊疗5000余人次、教学查房350余次，培训基层医务人员1000余人次。</w:t>
      </w:r>
    </w:p>
    <w:p w14:paraId="6E75B39B">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四是中医药（蒙医药）传承创新发展取得新成果。持续推进中医（蒙医）医院服务能力提升，2025年获评国家级中医优势专科1个，自治区级中医优势专科3个、中医重点学科4个、培育学科1个、遴选市级中医优势专科10个。获批省部级以上科研课题7项，市级科研课题13项。北京中医医院内蒙古医院获批自治区老年中医药（蒙医药）健康中心试点，旗县区级中医（蒙医）医院实现“两专科一中心”建设项目全覆盖。推动中医药服务能力延伸，北京中医医院内蒙古医院获批建设自治区区域康复中心，二级以上中医（蒙医）医院全部规范设置康复科、治未病科和老年病科，制定中医（蒙医）治未病服务方案5个，中医（蒙医）特色康复方案2个。累计推广中医适宜技术80项。持续推进中医馆（蒙医馆）提档升级，全市123家基层医疗机构全部设置了中医馆（蒙医馆），100%的中医馆（蒙医馆）达到优质型，配备了至少2名中（蒙）医医师，能够规范开展6类10项以上中医药（蒙医药）适宜技术。</w:t>
      </w:r>
    </w:p>
    <w:p w14:paraId="2A2CC18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五是基层服务能力获得长足进步。乡村医生执业医师占比64.51%，78%的乡镇卫生院和社区卫生服务中心达到“优质服务基层行”能力标准。98.4%的乡镇卫生院和社区卫生服务中心提供儿科门诊服务。居民电子健康档案全部开放。为村卫生室配备357台联网心电图机。12类基本公卫服务项目拨付率96.91%，承担基本公共卫生服务的村卫生室，已全部纳入医保结算管理。健康扶贫重点监测入户核实率、分类救治率、家庭医生签约率均为100%。</w:t>
      </w:r>
    </w:p>
    <w:p w14:paraId="437066D3">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六是公共卫生服务能力大幅提升。市、县两级均设立了传染病监测预警中心，完成三级视频会商系统和网络安全外围改造工程，28家二级以上医疗机构切入正式运行环境并稳定运行，应用率100%，全市传染病报告率提升9个百分点，显著提升传染病早期预警能力。组织开展呼吸道传染病风险研判51次、传染病风险研判14次、流感监测信息7次、流感暴发疫情监测信息4次、麻疹疫情风险评估1次，开展鼠疫会商3次、布病防控会商2次，互通疫情信息11期。截至目前，本土新型冠状病毒变异监测完成率达129.55%，细菌性传染病实验室监测完成率103.98%。深入开展“体重管理年”活动，26家二级以上公立医疗机构增设体重管理门诊，接诊量达6008人次，与11个部门开展体重管理年健步走、问卷调查、社区宣讲等社会活动126项，惠及群众8万余人。</w:t>
      </w:r>
    </w:p>
    <w:p w14:paraId="462E8411">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七是支持人口均衡发展体系逐步完善。育儿补贴政策有序落地，全市线上审核通过252990人，审核率90%，首批中央资金7936万元已下达旗县。多渠道扩大托育服务供给，新增普惠托位461个，千人口托位数4.5个，2500万元国债项目市级托育中心建成投用，投入120万元设立8个“萌宝驿站”社区托育试点，77家幼儿园延伸托育服务，构建起以托育综合服务中心为枢纽、社区托育为补充、托幼一体化为支撑的多元立体托育服务网络。筑牢母婴安全防线，16家二级以上医院早孕门诊全覆盖，建成危重孕产妇救治中心8家、新生儿救治中心7家，创建医疗机构生育与儿童友好医院4家，市县均配置标准化妇幼保健院，婴儿和5岁以下儿童死亡率分别为2.37‰和2.71‰。优化老年就医服务，二级以上公立医院均设老年医学科、康复科，7个旗县区建成安宁疗护病区。建成医养结合机构17家，每个旗县区建成1个社区医养结合示范点。</w:t>
      </w:r>
    </w:p>
    <w:p w14:paraId="6FF3EFC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八是行风建设深入推进。开展医德医风建设三年行动，发现问题312个，依法依规处理42人，罚款6.97万元，医务人员拒收红包195个共16万元。整治重复检查违规收费问题516个，完善制度机制90项；整治殡葬领域腐败乱象问题78个，建立核心制度11项。</w:t>
      </w:r>
    </w:p>
    <w:p w14:paraId="43EBACDC">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（二）工作亮点</w:t>
      </w:r>
    </w:p>
    <w:p w14:paraId="45CBE27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一是北京中医医院内蒙古医院内涵建设提质增效。优化专家派驻机制，通过“常驻+固定+临时”多元派驻模式，2025年累计派驻专家134人次，开设中医专病专台门诊100个，引进新技术、新项目24项。牵头组建自治区优势专科集群4个，打造优势病种76个。引进紧缺人才14人，选派25名骨干赴北京等高水平医院进修，5名专家获评包头医学院硕士研究生指导教师。开发中医药传承创新大健康产品10种、院内制剂2种。</w:t>
      </w:r>
    </w:p>
    <w:p w14:paraId="0BD40F8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二是基层医疗服务能力实现提升。构建“城乡联动、资源共享、服务协同、信息互通”整合型县域医疗卫生服务体系，群众在家门口即可享受到上级医院的优质医疗服务。</w:t>
      </w:r>
    </w:p>
    <w:p w14:paraId="11B1634E">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方正小标宋简体" w:hAnsi="方正小标宋简体" w:eastAsia="方正小标宋简体" w:cs="方正小标宋简体"/>
          <w:kern w:val="0"/>
          <w:sz w:val="36"/>
          <w:szCs w:val="36"/>
          <w:u w:val="none" w:color="auto"/>
        </w:rPr>
      </w:pPr>
      <w:r>
        <w:rPr>
          <w:rFonts w:hint="eastAsia" w:ascii="仿宋_GB2312" w:hAnsi="仿宋_GB2312" w:eastAsia="仿宋_GB2312" w:cs="仿宋_GB2312"/>
          <w:kern w:val="2"/>
          <w:sz w:val="32"/>
          <w:szCs w:val="32"/>
          <w:highlight w:val="none"/>
          <w:lang w:val="en-US" w:eastAsia="en-US" w:bidi="ar-SA"/>
        </w:rPr>
        <w:t>三是信息赋能推动县域资源优化配置。市级监测平台与旗县区医共体数据中心互联互通，决策监管、数据共享能力再上新台阶，促进分级诊疗，推动资源和服务更加贴近居民群众，逐步实现“日常疾病在基层解决，一般病在市县解决”。</w:t>
      </w:r>
    </w:p>
    <w:p w14:paraId="1280BCB9">
      <w:pPr>
        <w:pStyle w:val="3"/>
        <w:keepNext w:val="0"/>
        <w:keepLines w:val="0"/>
        <w:pageBreakBefore w:val="0"/>
        <w:widowControl/>
        <w:kinsoku/>
        <w:wordWrap/>
        <w:overflowPunct/>
        <w:topLinePunct w:val="0"/>
        <w:autoSpaceDE/>
        <w:autoSpaceDN/>
        <w:bidi w:val="0"/>
        <w:spacing w:before="0" w:after="0" w:line="560" w:lineRule="exact"/>
        <w:ind w:left="0" w:right="0"/>
        <w:jc w:val="center"/>
        <w:rPr>
          <w:rFonts w:ascii="Times New Roman" w:hAnsi="Times New Roman" w:eastAsia="Times New Roman" w:cs="Times New Roman"/>
          <w:b/>
          <w:bCs/>
          <w:kern w:val="0"/>
          <w:sz w:val="36"/>
          <w:szCs w:val="36"/>
          <w:u w:val="none" w:color="auto"/>
        </w:rPr>
      </w:pPr>
      <w:r>
        <w:rPr>
          <w:rFonts w:ascii="方正小标宋简体" w:hAnsi="方正小标宋简体" w:eastAsia="方正小标宋简体" w:cs="方正小标宋简体"/>
          <w:kern w:val="0"/>
          <w:sz w:val="36"/>
          <w:szCs w:val="36"/>
          <w:u w:val="none" w:color="auto"/>
        </w:rPr>
        <w:t>第二部分</w:t>
      </w:r>
      <w:r>
        <w:rPr>
          <w:rFonts w:ascii="Times New Roman" w:hAnsi="Times New Roman" w:eastAsia="Times New Roman" w:cs="Times New Roman"/>
          <w:kern w:val="0"/>
          <w:sz w:val="36"/>
          <w:szCs w:val="36"/>
          <w:u w:val="none" w:color="auto"/>
        </w:rPr>
        <w:t> </w:t>
      </w:r>
      <w:r>
        <w:rPr>
          <w:rFonts w:ascii="方正小标宋简体" w:hAnsi="方正小标宋简体" w:eastAsia="方正小标宋简体" w:cs="方正小标宋简体"/>
          <w:b w:val="0"/>
          <w:bCs w:val="0"/>
          <w:kern w:val="0"/>
          <w:sz w:val="36"/>
          <w:szCs w:val="36"/>
          <w:u w:val="none" w:color="auto"/>
        </w:rPr>
        <w:t xml:space="preserve"> </w:t>
      </w:r>
      <w:r>
        <w:rPr>
          <w:rFonts w:ascii="方正小标宋简体" w:hAnsi="方正小标宋简体" w:eastAsia="方正小标宋简体" w:cs="方正小标宋简体"/>
          <w:kern w:val="0"/>
          <w:sz w:val="36"/>
          <w:szCs w:val="36"/>
          <w:u w:val="none" w:color="auto"/>
        </w:rPr>
        <w:t>部门决算情况说明</w:t>
      </w:r>
    </w:p>
    <w:p w14:paraId="63D70C7C">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一、收入支出决算总体情况说明</w:t>
      </w:r>
    </w:p>
    <w:p w14:paraId="6A7D2253">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巴彦淖尔市卫生健康委员会部门 </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年度收入、支出决算总计均为</w:t>
      </w:r>
      <w:r>
        <w:rPr>
          <w:rFonts w:hint="eastAsia" w:ascii="仿宋_GB2312" w:hAnsi="仿宋_GB2312" w:eastAsia="仿宋_GB2312" w:cs="仿宋_GB2312"/>
          <w:kern w:val="2"/>
          <w:sz w:val="32"/>
          <w:szCs w:val="32"/>
          <w:highlight w:val="none"/>
          <w:lang w:val="en-US" w:eastAsia="en-US" w:bidi="ar-SA"/>
        </w:rPr>
        <w:t xml:space="preserve"> 174374.12</w:t>
      </w:r>
      <w:r>
        <w:rPr>
          <w:rFonts w:hint="eastAsia" w:ascii="仿宋_GB2312" w:hAnsi="仿宋_GB2312" w:eastAsia="仿宋_GB2312" w:cs="仿宋_GB2312"/>
          <w:kern w:val="2"/>
          <w:sz w:val="32"/>
          <w:szCs w:val="32"/>
          <w:highlight w:val="none"/>
          <w:lang w:val="en-US" w:eastAsia="zh-CN" w:bidi="ar-SA"/>
        </w:rPr>
        <w:t>万元。与年初预算相比，收、支总计各增加22384.31万元，增长14.73</w:t>
      </w:r>
      <w:r>
        <w:rPr>
          <w:rFonts w:hint="eastAsia" w:ascii="仿宋_GB2312" w:hAnsi="仿宋_GB2312" w:eastAsia="仿宋_GB2312" w:cs="仿宋_GB2312"/>
          <w:kern w:val="2"/>
          <w:sz w:val="32"/>
          <w:szCs w:val="32"/>
          <w:highlight w:val="none"/>
          <w:lang w:val="en-US" w:eastAsia="en-US" w:bidi="ar-SA"/>
        </w:rPr>
        <w:t>%</w:t>
      </w:r>
      <w:r>
        <w:rPr>
          <w:rFonts w:hint="eastAsia" w:ascii="仿宋_GB2312" w:hAnsi="仿宋_GB2312" w:eastAsia="仿宋_GB2312" w:cs="仿宋_GB2312"/>
          <w:kern w:val="2"/>
          <w:sz w:val="32"/>
          <w:szCs w:val="32"/>
          <w:highlight w:val="none"/>
          <w:lang w:val="en-US" w:eastAsia="zh-CN" w:bidi="ar-SA"/>
        </w:rPr>
        <w:t>，变动原因：决算收入支出中包括上级补助资金和自有资金；与上年决算相比，收、支总计各减少</w:t>
      </w:r>
      <w:r>
        <w:rPr>
          <w:rFonts w:hint="eastAsia" w:ascii="仿宋_GB2312" w:hAnsi="仿宋_GB2312" w:eastAsia="仿宋_GB2312" w:cs="仿宋_GB2312"/>
          <w:kern w:val="2"/>
          <w:sz w:val="32"/>
          <w:szCs w:val="32"/>
          <w:highlight w:val="none"/>
          <w:lang w:val="en-US" w:eastAsia="en-US" w:bidi="ar-SA"/>
        </w:rPr>
        <w:t>1593.43</w:t>
      </w:r>
      <w:r>
        <w:rPr>
          <w:rFonts w:hint="eastAsia" w:ascii="仿宋_GB2312" w:hAnsi="仿宋_GB2312" w:eastAsia="仿宋_GB2312" w:cs="仿宋_GB2312"/>
          <w:kern w:val="2"/>
          <w:sz w:val="32"/>
          <w:szCs w:val="32"/>
          <w:highlight w:val="none"/>
          <w:lang w:val="en-US" w:eastAsia="zh-CN" w:bidi="ar-SA"/>
        </w:rPr>
        <w:t>万元，增长下降</w:t>
      </w:r>
      <w:r>
        <w:rPr>
          <w:rFonts w:hint="eastAsia" w:ascii="仿宋_GB2312" w:hAnsi="仿宋_GB2312" w:eastAsia="仿宋_GB2312" w:cs="仿宋_GB2312"/>
          <w:kern w:val="2"/>
          <w:sz w:val="32"/>
          <w:szCs w:val="32"/>
          <w:highlight w:val="none"/>
          <w:lang w:val="en-US" w:eastAsia="en-US" w:bidi="ar-SA"/>
        </w:rPr>
        <w:t xml:space="preserve"> 0.91%</w:t>
      </w:r>
      <w:r>
        <w:rPr>
          <w:rFonts w:hint="eastAsia" w:ascii="仿宋_GB2312" w:hAnsi="仿宋_GB2312" w:eastAsia="仿宋_GB2312" w:cs="仿宋_GB2312"/>
          <w:kern w:val="2"/>
          <w:sz w:val="32"/>
          <w:szCs w:val="32"/>
          <w:highlight w:val="none"/>
          <w:lang w:val="en-US" w:eastAsia="zh-CN" w:bidi="ar-SA"/>
        </w:rPr>
        <w:t>。其中：</w:t>
      </w:r>
    </w:p>
    <w:p w14:paraId="0468634A">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24"/>
          <w:u w:val="none" w:color="auto"/>
        </w:rPr>
      </w:pPr>
      <w:r>
        <w:rPr>
          <w:rFonts w:hint="eastAsia" w:ascii="方正楷体_GB2312" w:hAnsi="方正楷体_GB2312" w:eastAsia="方正楷体_GB2312" w:cs="方正楷体_GB2312"/>
          <w:b w:val="0"/>
          <w:bCs w:val="0"/>
          <w:kern w:val="0"/>
          <w:sz w:val="32"/>
          <w:szCs w:val="32"/>
          <w:u w:val="none" w:color="auto"/>
        </w:rPr>
        <w:t>（一）收入决算总计</w:t>
      </w:r>
      <w:r>
        <w:rPr>
          <w:rFonts w:hint="eastAsia" w:ascii="方正楷体_GB2312" w:hAnsi="方正楷体_GB2312" w:eastAsia="方正楷体_GB2312" w:cs="方正楷体_GB2312"/>
          <w:b w:val="0"/>
          <w:bCs w:val="0"/>
          <w:kern w:val="0"/>
          <w:sz w:val="32"/>
          <w:szCs w:val="32"/>
          <w:u w:val="none" w:color="auto"/>
          <w:lang w:eastAsia="en-US"/>
        </w:rPr>
        <w:t xml:space="preserve"> 174374.12</w:t>
      </w:r>
      <w:r>
        <w:rPr>
          <w:rFonts w:hint="eastAsia" w:ascii="方正楷体_GB2312" w:hAnsi="方正楷体_GB2312" w:eastAsia="方正楷体_GB2312" w:cs="方正楷体_GB2312"/>
          <w:b w:val="0"/>
          <w:bCs w:val="0"/>
          <w:kern w:val="0"/>
          <w:sz w:val="32"/>
          <w:szCs w:val="32"/>
          <w:u w:val="none" w:color="auto"/>
        </w:rPr>
        <w:t>万元。包括：</w:t>
      </w:r>
    </w:p>
    <w:p w14:paraId="477C684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本年收入决算合计</w:t>
      </w:r>
      <w:r>
        <w:rPr>
          <w:rFonts w:hint="eastAsia" w:ascii="仿宋_GB2312" w:hAnsi="仿宋_GB2312" w:eastAsia="仿宋_GB2312" w:cs="仿宋_GB2312"/>
          <w:kern w:val="2"/>
          <w:sz w:val="32"/>
          <w:szCs w:val="32"/>
          <w:highlight w:val="none"/>
          <w:lang w:val="en-US" w:eastAsia="en-US" w:bidi="ar-SA"/>
        </w:rPr>
        <w:t xml:space="preserve"> 160565.21</w:t>
      </w:r>
      <w:r>
        <w:rPr>
          <w:rFonts w:hint="eastAsia" w:ascii="仿宋_GB2312" w:hAnsi="仿宋_GB2312" w:eastAsia="仿宋_GB2312" w:cs="仿宋_GB2312"/>
          <w:kern w:val="2"/>
          <w:sz w:val="32"/>
          <w:szCs w:val="32"/>
          <w:highlight w:val="none"/>
          <w:lang w:val="en-US" w:eastAsia="zh-CN" w:bidi="ar-SA"/>
        </w:rPr>
        <w:t>万元。与上年决算相比，下降</w:t>
      </w:r>
      <w:r>
        <w:rPr>
          <w:rFonts w:hint="eastAsia" w:ascii="仿宋_GB2312" w:hAnsi="仿宋_GB2312" w:eastAsia="仿宋_GB2312" w:cs="仿宋_GB2312"/>
          <w:kern w:val="2"/>
          <w:sz w:val="32"/>
          <w:szCs w:val="32"/>
          <w:highlight w:val="none"/>
          <w:lang w:val="en-US" w:eastAsia="en-US" w:bidi="ar-SA"/>
        </w:rPr>
        <w:t>3811.49</w:t>
      </w:r>
      <w:r>
        <w:rPr>
          <w:rFonts w:hint="eastAsia" w:ascii="仿宋_GB2312" w:hAnsi="仿宋_GB2312" w:eastAsia="仿宋_GB2312" w:cs="仿宋_GB2312"/>
          <w:kern w:val="2"/>
          <w:sz w:val="32"/>
          <w:szCs w:val="32"/>
          <w:highlight w:val="none"/>
          <w:lang w:val="en-US" w:eastAsia="zh-CN" w:bidi="ar-SA"/>
        </w:rPr>
        <w:t>万元，减少</w:t>
      </w:r>
      <w:r>
        <w:rPr>
          <w:rFonts w:hint="eastAsia" w:ascii="仿宋_GB2312" w:hAnsi="仿宋_GB2312" w:eastAsia="仿宋_GB2312" w:cs="仿宋_GB2312"/>
          <w:kern w:val="2"/>
          <w:sz w:val="32"/>
          <w:szCs w:val="32"/>
          <w:highlight w:val="none"/>
          <w:lang w:val="en-US" w:eastAsia="en-US" w:bidi="ar-SA"/>
        </w:rPr>
        <w:t>2.32%</w:t>
      </w:r>
      <w:r>
        <w:rPr>
          <w:rFonts w:hint="eastAsia" w:ascii="仿宋_GB2312" w:hAnsi="仿宋_GB2312" w:eastAsia="仿宋_GB2312" w:cs="仿宋_GB2312"/>
          <w:kern w:val="2"/>
          <w:sz w:val="32"/>
          <w:szCs w:val="32"/>
          <w:highlight w:val="none"/>
          <w:lang w:val="en-US" w:eastAsia="zh-CN" w:bidi="ar-SA"/>
        </w:rPr>
        <w:t>，变动原因：医疗收入减少。</w:t>
      </w:r>
    </w:p>
    <w:p w14:paraId="635AF12F">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2.</w:t>
      </w:r>
      <w:r>
        <w:rPr>
          <w:rFonts w:hint="eastAsia" w:ascii="仿宋_GB2312" w:hAnsi="仿宋_GB2312" w:eastAsia="仿宋_GB2312" w:cs="仿宋_GB2312"/>
          <w:kern w:val="2"/>
          <w:sz w:val="32"/>
          <w:szCs w:val="32"/>
          <w:highlight w:val="none"/>
          <w:lang w:val="en-US" w:eastAsia="zh-CN" w:bidi="ar-SA"/>
        </w:rPr>
        <w:t>使用非财政拨款结余（含专用结余）</w:t>
      </w:r>
      <w:r>
        <w:rPr>
          <w:rFonts w:hint="eastAsia" w:ascii="仿宋_GB2312" w:hAnsi="仿宋_GB2312" w:eastAsia="仿宋_GB2312" w:cs="仿宋_GB2312"/>
          <w:kern w:val="2"/>
          <w:sz w:val="32"/>
          <w:szCs w:val="32"/>
          <w:highlight w:val="none"/>
          <w:lang w:val="en-US" w:eastAsia="en-US" w:bidi="ar-SA"/>
        </w:rPr>
        <w:t xml:space="preserve"> 0</w:t>
      </w:r>
      <w:r>
        <w:rPr>
          <w:rFonts w:hint="eastAsia" w:ascii="仿宋_GB2312" w:hAnsi="仿宋_GB2312" w:eastAsia="仿宋_GB2312" w:cs="仿宋_GB2312"/>
          <w:kern w:val="2"/>
          <w:sz w:val="32"/>
          <w:szCs w:val="32"/>
          <w:highlight w:val="none"/>
          <w:lang w:val="en-US" w:eastAsia="zh-CN" w:bidi="ar-SA"/>
        </w:rPr>
        <w:t>万元。与上年决算相比，增加</w:t>
      </w:r>
      <w:r>
        <w:rPr>
          <w:rFonts w:hint="eastAsia" w:ascii="仿宋_GB2312" w:hAnsi="仿宋_GB2312" w:eastAsia="仿宋_GB2312" w:cs="仿宋_GB2312"/>
          <w:kern w:val="2"/>
          <w:sz w:val="32"/>
          <w:szCs w:val="32"/>
          <w:highlight w:val="none"/>
          <w:lang w:val="en-US" w:eastAsia="en-US" w:bidi="ar-SA"/>
        </w:rPr>
        <w:t>0</w:t>
      </w:r>
      <w:r>
        <w:rPr>
          <w:rFonts w:hint="eastAsia" w:ascii="仿宋_GB2312" w:hAnsi="仿宋_GB2312" w:eastAsia="仿宋_GB2312" w:cs="仿宋_GB2312"/>
          <w:kern w:val="2"/>
          <w:sz w:val="32"/>
          <w:szCs w:val="32"/>
          <w:highlight w:val="none"/>
          <w:lang w:val="en-US" w:eastAsia="zh-CN" w:bidi="ar-SA"/>
        </w:rPr>
        <w:t>万元，增长</w:t>
      </w:r>
      <w:r>
        <w:rPr>
          <w:rFonts w:hint="eastAsia" w:ascii="仿宋_GB2312" w:hAnsi="仿宋_GB2312" w:eastAsia="仿宋_GB2312" w:cs="仿宋_GB2312"/>
          <w:kern w:val="2"/>
          <w:sz w:val="32"/>
          <w:szCs w:val="32"/>
          <w:highlight w:val="none"/>
          <w:lang w:val="en-US" w:eastAsia="en-US" w:bidi="ar-SA"/>
        </w:rPr>
        <w:t>0%</w:t>
      </w:r>
      <w:r>
        <w:rPr>
          <w:rFonts w:hint="eastAsia" w:ascii="仿宋_GB2312" w:hAnsi="仿宋_GB2312" w:eastAsia="仿宋_GB2312" w:cs="仿宋_GB2312"/>
          <w:kern w:val="2"/>
          <w:sz w:val="32"/>
          <w:szCs w:val="32"/>
          <w:highlight w:val="none"/>
          <w:lang w:val="en-US" w:eastAsia="zh-CN" w:bidi="ar-SA"/>
        </w:rPr>
        <w:t>，变动原因：2024年度和2025年度均无非财政拨款结余（含专用结余）。</w:t>
      </w:r>
    </w:p>
    <w:p w14:paraId="2FBF4E8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3.</w:t>
      </w:r>
      <w:r>
        <w:rPr>
          <w:rFonts w:hint="eastAsia" w:ascii="仿宋_GB2312" w:hAnsi="仿宋_GB2312" w:eastAsia="仿宋_GB2312" w:cs="仿宋_GB2312"/>
          <w:kern w:val="2"/>
          <w:sz w:val="32"/>
          <w:szCs w:val="32"/>
          <w:highlight w:val="none"/>
          <w:lang w:val="en-US" w:eastAsia="zh-CN" w:bidi="ar-SA"/>
        </w:rPr>
        <w:t>年初结转和结余</w:t>
      </w:r>
      <w:r>
        <w:rPr>
          <w:rFonts w:hint="eastAsia" w:ascii="仿宋_GB2312" w:hAnsi="仿宋_GB2312" w:eastAsia="仿宋_GB2312" w:cs="仿宋_GB2312"/>
          <w:kern w:val="2"/>
          <w:sz w:val="32"/>
          <w:szCs w:val="32"/>
          <w:highlight w:val="none"/>
          <w:lang w:val="en-US" w:eastAsia="en-US" w:bidi="ar-SA"/>
        </w:rPr>
        <w:t xml:space="preserve"> 13808.91</w:t>
      </w:r>
      <w:r>
        <w:rPr>
          <w:rFonts w:hint="eastAsia" w:ascii="仿宋_GB2312" w:hAnsi="仿宋_GB2312" w:eastAsia="仿宋_GB2312" w:cs="仿宋_GB2312"/>
          <w:kern w:val="2"/>
          <w:sz w:val="32"/>
          <w:szCs w:val="32"/>
          <w:highlight w:val="none"/>
          <w:lang w:val="en-US" w:eastAsia="zh-CN" w:bidi="ar-SA"/>
        </w:rPr>
        <w:t>万元。与上年决算相比，增加</w:t>
      </w:r>
      <w:r>
        <w:rPr>
          <w:rFonts w:hint="eastAsia" w:ascii="仿宋_GB2312" w:hAnsi="仿宋_GB2312" w:eastAsia="仿宋_GB2312" w:cs="仿宋_GB2312"/>
          <w:kern w:val="2"/>
          <w:sz w:val="32"/>
          <w:szCs w:val="32"/>
          <w:highlight w:val="none"/>
          <w:lang w:val="en-US" w:eastAsia="en-US" w:bidi="ar-SA"/>
        </w:rPr>
        <w:t>2218.05</w:t>
      </w:r>
      <w:r>
        <w:rPr>
          <w:rFonts w:hint="eastAsia" w:ascii="仿宋_GB2312" w:hAnsi="仿宋_GB2312" w:eastAsia="仿宋_GB2312" w:cs="仿宋_GB2312"/>
          <w:kern w:val="2"/>
          <w:sz w:val="32"/>
          <w:szCs w:val="32"/>
          <w:highlight w:val="none"/>
          <w:lang w:val="en-US" w:eastAsia="zh-CN" w:bidi="ar-SA"/>
        </w:rPr>
        <w:t>万元，增长</w:t>
      </w:r>
      <w:r>
        <w:rPr>
          <w:rFonts w:hint="eastAsia" w:ascii="仿宋_GB2312" w:hAnsi="仿宋_GB2312" w:eastAsia="仿宋_GB2312" w:cs="仿宋_GB2312"/>
          <w:kern w:val="2"/>
          <w:sz w:val="32"/>
          <w:szCs w:val="32"/>
          <w:highlight w:val="none"/>
          <w:lang w:val="en-US" w:eastAsia="en-US" w:bidi="ar-SA"/>
        </w:rPr>
        <w:t>19.14%</w:t>
      </w:r>
      <w:r>
        <w:rPr>
          <w:rFonts w:hint="eastAsia" w:ascii="仿宋_GB2312" w:hAnsi="仿宋_GB2312" w:eastAsia="仿宋_GB2312" w:cs="仿宋_GB2312"/>
          <w:kern w:val="2"/>
          <w:sz w:val="32"/>
          <w:szCs w:val="32"/>
          <w:highlight w:val="none"/>
          <w:lang w:val="en-US" w:eastAsia="zh-CN" w:bidi="ar-SA"/>
        </w:rPr>
        <w:t>，变动原因：部分项目资金未实施完成需要分年度支付。</w:t>
      </w:r>
    </w:p>
    <w:p w14:paraId="6A6AA89D">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（二）支出决算总计</w:t>
      </w:r>
      <w:r>
        <w:rPr>
          <w:rFonts w:hint="eastAsia" w:ascii="方正楷体_GB2312" w:hAnsi="方正楷体_GB2312" w:eastAsia="方正楷体_GB2312" w:cs="方正楷体_GB2312"/>
          <w:b w:val="0"/>
          <w:bCs w:val="0"/>
          <w:kern w:val="0"/>
          <w:sz w:val="32"/>
          <w:szCs w:val="32"/>
          <w:u w:val="none" w:color="auto"/>
          <w:lang w:eastAsia="en-US"/>
        </w:rPr>
        <w:t xml:space="preserve"> 174374.12</w:t>
      </w:r>
      <w:r>
        <w:rPr>
          <w:rFonts w:hint="eastAsia" w:ascii="方正楷体_GB2312" w:hAnsi="方正楷体_GB2312" w:eastAsia="方正楷体_GB2312" w:cs="方正楷体_GB2312"/>
          <w:b w:val="0"/>
          <w:bCs w:val="0"/>
          <w:kern w:val="0"/>
          <w:sz w:val="32"/>
          <w:szCs w:val="32"/>
          <w:u w:val="none" w:color="auto"/>
        </w:rPr>
        <w:t>万元。包括：</w:t>
      </w:r>
    </w:p>
    <w:p w14:paraId="34CE421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本年支出决算合计</w:t>
      </w:r>
      <w:r>
        <w:rPr>
          <w:rFonts w:hint="eastAsia" w:ascii="仿宋_GB2312" w:hAnsi="仿宋_GB2312" w:eastAsia="仿宋_GB2312" w:cs="仿宋_GB2312"/>
          <w:kern w:val="2"/>
          <w:sz w:val="32"/>
          <w:szCs w:val="32"/>
          <w:highlight w:val="none"/>
          <w:lang w:val="en-US" w:eastAsia="en-US" w:bidi="ar-SA"/>
        </w:rPr>
        <w:t xml:space="preserve"> 161068.10</w:t>
      </w:r>
      <w:r>
        <w:rPr>
          <w:rFonts w:hint="eastAsia" w:ascii="仿宋_GB2312" w:hAnsi="仿宋_GB2312" w:eastAsia="仿宋_GB2312" w:cs="仿宋_GB2312"/>
          <w:kern w:val="2"/>
          <w:sz w:val="32"/>
          <w:szCs w:val="32"/>
          <w:highlight w:val="none"/>
          <w:lang w:val="en-US" w:eastAsia="zh-CN" w:bidi="ar-SA"/>
        </w:rPr>
        <w:t>万元。与上年决算相比，减少</w:t>
      </w:r>
      <w:r>
        <w:rPr>
          <w:rFonts w:hint="eastAsia" w:ascii="仿宋_GB2312" w:hAnsi="仿宋_GB2312" w:eastAsia="仿宋_GB2312" w:cs="仿宋_GB2312"/>
          <w:kern w:val="2"/>
          <w:sz w:val="32"/>
          <w:szCs w:val="32"/>
          <w:highlight w:val="none"/>
          <w:lang w:val="en-US" w:eastAsia="en-US" w:bidi="ar-SA"/>
        </w:rPr>
        <w:t>856.13</w:t>
      </w:r>
      <w:r>
        <w:rPr>
          <w:rFonts w:hint="eastAsia" w:ascii="仿宋_GB2312" w:hAnsi="仿宋_GB2312" w:eastAsia="仿宋_GB2312" w:cs="仿宋_GB2312"/>
          <w:kern w:val="2"/>
          <w:sz w:val="32"/>
          <w:szCs w:val="32"/>
          <w:highlight w:val="none"/>
          <w:lang w:val="en-US" w:eastAsia="zh-CN" w:bidi="ar-SA"/>
        </w:rPr>
        <w:t>万元，下降</w:t>
      </w:r>
      <w:r>
        <w:rPr>
          <w:rFonts w:hint="eastAsia" w:ascii="仿宋_GB2312" w:hAnsi="仿宋_GB2312" w:eastAsia="仿宋_GB2312" w:cs="仿宋_GB2312"/>
          <w:kern w:val="2"/>
          <w:sz w:val="32"/>
          <w:szCs w:val="32"/>
          <w:highlight w:val="none"/>
          <w:lang w:val="en-US" w:eastAsia="en-US" w:bidi="ar-SA"/>
        </w:rPr>
        <w:t>0.53%</w:t>
      </w:r>
      <w:r>
        <w:rPr>
          <w:rFonts w:hint="eastAsia" w:ascii="仿宋_GB2312" w:hAnsi="仿宋_GB2312" w:eastAsia="仿宋_GB2312" w:cs="仿宋_GB2312"/>
          <w:kern w:val="2"/>
          <w:sz w:val="32"/>
          <w:szCs w:val="32"/>
          <w:highlight w:val="none"/>
          <w:lang w:val="en-US" w:eastAsia="zh-CN" w:bidi="ar-SA"/>
        </w:rPr>
        <w:t>，变动原因：医疗收入有所下降。</w:t>
      </w:r>
    </w:p>
    <w:p w14:paraId="187ED035">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2.</w:t>
      </w:r>
      <w:r>
        <w:rPr>
          <w:rFonts w:hint="eastAsia" w:ascii="仿宋_GB2312" w:hAnsi="仿宋_GB2312" w:eastAsia="仿宋_GB2312" w:cs="仿宋_GB2312"/>
          <w:kern w:val="2"/>
          <w:sz w:val="32"/>
          <w:szCs w:val="32"/>
          <w:highlight w:val="none"/>
          <w:lang w:val="en-US" w:eastAsia="zh-CN" w:bidi="ar-SA"/>
        </w:rPr>
        <w:t>结余分配</w:t>
      </w:r>
      <w:r>
        <w:rPr>
          <w:rFonts w:hint="eastAsia" w:ascii="仿宋_GB2312" w:hAnsi="仿宋_GB2312" w:eastAsia="仿宋_GB2312" w:cs="仿宋_GB2312"/>
          <w:kern w:val="2"/>
          <w:sz w:val="32"/>
          <w:szCs w:val="32"/>
          <w:highlight w:val="none"/>
          <w:lang w:val="en-US" w:eastAsia="en-US" w:bidi="ar-SA"/>
        </w:rPr>
        <w:t xml:space="preserve"> 0</w:t>
      </w:r>
      <w:r>
        <w:rPr>
          <w:rFonts w:hint="eastAsia" w:ascii="仿宋_GB2312" w:hAnsi="仿宋_GB2312" w:eastAsia="仿宋_GB2312" w:cs="仿宋_GB2312"/>
          <w:kern w:val="2"/>
          <w:sz w:val="32"/>
          <w:szCs w:val="32"/>
          <w:highlight w:val="none"/>
          <w:lang w:val="en-US" w:eastAsia="zh-CN" w:bidi="ar-SA"/>
        </w:rPr>
        <w:t>万元。结余分配事项：无。与上年决算相比，增加</w:t>
      </w:r>
      <w:r>
        <w:rPr>
          <w:rFonts w:hint="eastAsia" w:ascii="仿宋_GB2312" w:hAnsi="仿宋_GB2312" w:eastAsia="仿宋_GB2312" w:cs="仿宋_GB2312"/>
          <w:kern w:val="2"/>
          <w:sz w:val="32"/>
          <w:szCs w:val="32"/>
          <w:highlight w:val="none"/>
          <w:lang w:val="en-US" w:eastAsia="en-US" w:bidi="ar-SA"/>
        </w:rPr>
        <w:t xml:space="preserve"> 0</w:t>
      </w:r>
      <w:r>
        <w:rPr>
          <w:rFonts w:hint="eastAsia" w:ascii="仿宋_GB2312" w:hAnsi="仿宋_GB2312" w:eastAsia="仿宋_GB2312" w:cs="仿宋_GB2312"/>
          <w:kern w:val="2"/>
          <w:sz w:val="32"/>
          <w:szCs w:val="32"/>
          <w:highlight w:val="none"/>
          <w:lang w:val="en-US" w:eastAsia="zh-CN" w:bidi="ar-SA"/>
        </w:rPr>
        <w:t>万元，增长</w:t>
      </w:r>
      <w:r>
        <w:rPr>
          <w:rFonts w:hint="eastAsia" w:ascii="仿宋_GB2312" w:hAnsi="仿宋_GB2312" w:eastAsia="仿宋_GB2312" w:cs="仿宋_GB2312"/>
          <w:kern w:val="2"/>
          <w:sz w:val="32"/>
          <w:szCs w:val="32"/>
          <w:highlight w:val="none"/>
          <w:lang w:val="en-US" w:eastAsia="en-US" w:bidi="ar-SA"/>
        </w:rPr>
        <w:t>0%</w:t>
      </w:r>
      <w:r>
        <w:rPr>
          <w:rFonts w:hint="eastAsia" w:ascii="仿宋_GB2312" w:hAnsi="仿宋_GB2312" w:eastAsia="仿宋_GB2312" w:cs="仿宋_GB2312"/>
          <w:kern w:val="2"/>
          <w:sz w:val="32"/>
          <w:szCs w:val="32"/>
          <w:highlight w:val="none"/>
          <w:lang w:val="en-US" w:eastAsia="zh-CN" w:bidi="ar-SA"/>
        </w:rPr>
        <w:t>，变动原因：2024年度和2025年度均无结余分配。</w:t>
      </w:r>
    </w:p>
    <w:p w14:paraId="328D6BBF">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3.</w:t>
      </w:r>
      <w:r>
        <w:rPr>
          <w:rFonts w:hint="eastAsia" w:ascii="仿宋_GB2312" w:hAnsi="仿宋_GB2312" w:eastAsia="仿宋_GB2312" w:cs="仿宋_GB2312"/>
          <w:kern w:val="2"/>
          <w:sz w:val="32"/>
          <w:szCs w:val="32"/>
          <w:highlight w:val="none"/>
          <w:lang w:val="en-US" w:eastAsia="zh-CN" w:bidi="ar-SA"/>
        </w:rPr>
        <w:t>年末结转和结余</w:t>
      </w:r>
      <w:r>
        <w:rPr>
          <w:rFonts w:hint="eastAsia" w:ascii="仿宋_GB2312" w:hAnsi="仿宋_GB2312" w:eastAsia="仿宋_GB2312" w:cs="仿宋_GB2312"/>
          <w:kern w:val="2"/>
          <w:sz w:val="32"/>
          <w:szCs w:val="32"/>
          <w:highlight w:val="none"/>
          <w:lang w:val="en-US" w:eastAsia="en-US" w:bidi="ar-SA"/>
        </w:rPr>
        <w:t xml:space="preserve"> 13306.02</w:t>
      </w:r>
      <w:r>
        <w:rPr>
          <w:rFonts w:hint="eastAsia" w:ascii="仿宋_GB2312" w:hAnsi="仿宋_GB2312" w:eastAsia="仿宋_GB2312" w:cs="仿宋_GB2312"/>
          <w:kern w:val="2"/>
          <w:sz w:val="32"/>
          <w:szCs w:val="32"/>
          <w:highlight w:val="none"/>
          <w:lang w:val="en-US" w:eastAsia="zh-CN" w:bidi="ar-SA"/>
        </w:rPr>
        <w:t>万元。结转和结余事项：市卫生健康委员会484.14万元，市医院8496.56万元，市蒙医医院318.28万元，北京中医医院内蒙古医院3704.89万元，市卫生健康事业发展中心2万元，市疾病预防控制中心1.96万元，市第二医院89.06万元，市中心血站570.37万元，市妇幼保健计划生育服务中心287.76万元。与上年决算相比，减少737.31万元，下降5.25</w:t>
      </w:r>
      <w:r>
        <w:rPr>
          <w:rFonts w:hint="eastAsia" w:ascii="仿宋_GB2312" w:hAnsi="仿宋_GB2312" w:eastAsia="仿宋_GB2312" w:cs="仿宋_GB2312"/>
          <w:kern w:val="2"/>
          <w:sz w:val="32"/>
          <w:szCs w:val="32"/>
          <w:highlight w:val="none"/>
          <w:lang w:val="en-US" w:eastAsia="en-US" w:bidi="ar-SA"/>
        </w:rPr>
        <w:t>%</w:t>
      </w:r>
      <w:r>
        <w:rPr>
          <w:rFonts w:hint="eastAsia" w:ascii="仿宋_GB2312" w:hAnsi="仿宋_GB2312" w:eastAsia="仿宋_GB2312" w:cs="仿宋_GB2312"/>
          <w:kern w:val="2"/>
          <w:sz w:val="32"/>
          <w:szCs w:val="32"/>
          <w:highlight w:val="none"/>
          <w:lang w:val="en-US" w:eastAsia="zh-CN" w:bidi="ar-SA"/>
        </w:rPr>
        <w:t>，变动原因：本年度积极推进项目实施。</w:t>
      </w:r>
    </w:p>
    <w:p w14:paraId="6DCA38CD">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二、收入决算情况说明</w:t>
      </w:r>
    </w:p>
    <w:p w14:paraId="682AE273">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巴彦淖尔市卫生健康委员会部门 2025年度本年收入决算合计 160565.21万元，其中：</w:t>
      </w:r>
    </w:p>
    <w:p w14:paraId="38ED2EC7">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一般公共预算财政拨款收入 34411.64万元，占 21.43%；</w:t>
      </w:r>
    </w:p>
    <w:p w14:paraId="244F12EB">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政府性基金预算财政拨款收入 1706.00万元，占 1.06%；</w:t>
      </w:r>
    </w:p>
    <w:p w14:paraId="55C3370A">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国有资本经营预算财政拨款收入 0万元，占 0%；</w:t>
      </w:r>
    </w:p>
    <w:p w14:paraId="3E4F5785">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上级补助收入 0万元，占 0%；</w:t>
      </w:r>
    </w:p>
    <w:p w14:paraId="0AD5E4AA">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事业收入 90295.67万元，占 56.24%；</w:t>
      </w:r>
    </w:p>
    <w:p w14:paraId="19D69B1C">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经营收入 0万元，占 0%；</w:t>
      </w:r>
    </w:p>
    <w:p w14:paraId="7927272F">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附属单位上缴收入 0万元，占 0%；</w:t>
      </w:r>
    </w:p>
    <w:p w14:paraId="71E90C4B">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其他收入 34151.90万元，占 21.27%。  </w:t>
      </w:r>
    </w:p>
    <w:p w14:paraId="3BFEC165">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p>
    <w:p w14:paraId="3CE40C4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p>
    <w:p w14:paraId="6A05FBE7">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p>
    <w:p w14:paraId="12D5D5F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p>
    <w:p w14:paraId="57F243DD">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 </w:t>
      </w:r>
    </w:p>
    <w:p w14:paraId="2609BAC6">
      <w:pPr>
        <w:keepNext w:val="0"/>
        <w:keepLines w:val="0"/>
        <w:pageBreakBefore w:val="0"/>
        <w:widowControl/>
        <w:kinsoku/>
        <w:wordWrap/>
        <w:overflowPunct/>
        <w:topLinePunct w:val="0"/>
        <w:autoSpaceDE/>
        <w:autoSpaceDN/>
        <w:bidi w:val="0"/>
        <w:spacing w:line="560" w:lineRule="exact"/>
        <w:jc w:val="both"/>
        <w:rPr>
          <w:rFonts w:ascii="FangSong_GB2312" w:hAnsi="FangSong_GB2312" w:eastAsia="FangSong_GB2312" w:cs="FangSong_GB2312"/>
          <w:kern w:val="0"/>
          <w:sz w:val="27"/>
          <w:szCs w:val="27"/>
          <w:u w:val="none" w:color="auto"/>
        </w:rPr>
      </w:pPr>
    </w:p>
    <w:p w14:paraId="4D831DAC">
      <w:pPr>
        <w:keepNext w:val="0"/>
        <w:keepLines w:val="0"/>
        <w:pageBreakBefore w:val="0"/>
        <w:widowControl/>
        <w:kinsoku/>
        <w:wordWrap/>
        <w:overflowPunct/>
        <w:topLinePunct w:val="0"/>
        <w:autoSpaceDE/>
        <w:autoSpaceDN/>
        <w:bidi w:val="0"/>
        <w:spacing w:line="560" w:lineRule="exact"/>
        <w:jc w:val="both"/>
        <w:rPr>
          <w:rFonts w:ascii="FangSong_GB2312" w:hAnsi="FangSong_GB2312" w:eastAsia="FangSong_GB2312" w:cs="FangSong_GB2312"/>
          <w:kern w:val="0"/>
          <w:sz w:val="27"/>
          <w:szCs w:val="27"/>
          <w:u w:val="none" w:color="auto"/>
        </w:rPr>
      </w:pPr>
      <w:r>
        <w:rPr>
          <w:sz w:val="27"/>
        </w:rPr>
        <w:pict>
          <v:shape id="_x0000_s1026" o:spid="_x0000_s1026" o:spt="202" type="#_x0000_t202" style="position:absolute;left:0pt;margin-left:-12.85pt;margin-top:-38.35pt;height:239.15pt;width:455.95pt;z-index:251659264;mso-width-relative:page;mso-height-relative:page;" fillcolor="#FFFFFF" filled="t" stroked="t" coordsize="21600,21600">
            <v:path/>
            <v:fill on="t" color2="#FFFFFF" focussize="0,0"/>
            <v:stroke color="#000000" joinstyle="miter"/>
            <v:imagedata o:title=""/>
            <o:lock v:ext="edit" aspectratio="f"/>
            <v:textbox>
              <w:txbxContent>
                <w:p w14:paraId="68054189">
                  <w:r>
                    <w:rPr>
                      <w:rFonts w:ascii="Times New Roman" w:hAnsi="Times New Roman" w:eastAsia="Times New Roman" w:cs="Times New Roman"/>
                      <w:strike w:val="0"/>
                      <w:kern w:val="0"/>
                      <w:sz w:val="24"/>
                      <w:u w:val="none"/>
                    </w:rPr>
                    <w:drawing>
                      <wp:inline distT="0" distB="0" distL="114300" distR="114300">
                        <wp:extent cx="5278755" cy="2846070"/>
                        <wp:effectExtent l="0" t="0" r="17145" b="1143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a:stretch>
                                  <a:fillRect/>
                                </a:stretch>
                              </pic:blipFill>
                              <pic:spPr>
                                <a:xfrm>
                                  <a:off x="0" y="0"/>
                                  <a:ext cx="5278755" cy="2846070"/>
                                </a:xfrm>
                                <a:prstGeom prst="rect">
                                  <a:avLst/>
                                </a:prstGeom>
                                <a:noFill/>
                                <a:ln>
                                  <a:noFill/>
                                </a:ln>
                              </pic:spPr>
                            </pic:pic>
                          </a:graphicData>
                        </a:graphic>
                      </wp:inline>
                    </w:drawing>
                  </w:r>
                </w:p>
              </w:txbxContent>
            </v:textbox>
          </v:shape>
        </w:pict>
      </w:r>
    </w:p>
    <w:p w14:paraId="1BDB1D41">
      <w:pPr>
        <w:keepNext w:val="0"/>
        <w:keepLines w:val="0"/>
        <w:pageBreakBefore w:val="0"/>
        <w:widowControl/>
        <w:kinsoku/>
        <w:wordWrap/>
        <w:overflowPunct/>
        <w:topLinePunct w:val="0"/>
        <w:autoSpaceDE/>
        <w:autoSpaceDN/>
        <w:bidi w:val="0"/>
        <w:spacing w:line="560" w:lineRule="exact"/>
        <w:jc w:val="both"/>
        <w:rPr>
          <w:rFonts w:ascii="FangSong_GB2312" w:hAnsi="FangSong_GB2312" w:eastAsia="FangSong_GB2312" w:cs="FangSong_GB2312"/>
          <w:kern w:val="0"/>
          <w:sz w:val="27"/>
          <w:szCs w:val="27"/>
          <w:u w:val="none" w:color="auto"/>
        </w:rPr>
      </w:pPr>
    </w:p>
    <w:p w14:paraId="29717FBE">
      <w:pPr>
        <w:keepNext w:val="0"/>
        <w:keepLines w:val="0"/>
        <w:pageBreakBefore w:val="0"/>
        <w:widowControl/>
        <w:kinsoku/>
        <w:wordWrap/>
        <w:overflowPunct/>
        <w:topLinePunct w:val="0"/>
        <w:autoSpaceDE/>
        <w:autoSpaceDN/>
        <w:bidi w:val="0"/>
        <w:spacing w:line="560" w:lineRule="exact"/>
        <w:jc w:val="both"/>
        <w:rPr>
          <w:rFonts w:ascii="FangSong_GB2312" w:hAnsi="FangSong_GB2312" w:eastAsia="FangSong_GB2312" w:cs="FangSong_GB2312"/>
          <w:kern w:val="0"/>
          <w:sz w:val="27"/>
          <w:szCs w:val="27"/>
          <w:u w:val="none" w:color="auto"/>
        </w:rPr>
      </w:pPr>
    </w:p>
    <w:p w14:paraId="5DDE7E90">
      <w:pPr>
        <w:keepNext w:val="0"/>
        <w:keepLines w:val="0"/>
        <w:pageBreakBefore w:val="0"/>
        <w:widowControl/>
        <w:kinsoku/>
        <w:wordWrap/>
        <w:overflowPunct/>
        <w:topLinePunct w:val="0"/>
        <w:autoSpaceDE/>
        <w:autoSpaceDN/>
        <w:bidi w:val="0"/>
        <w:spacing w:line="560" w:lineRule="exact"/>
        <w:jc w:val="both"/>
        <w:rPr>
          <w:rFonts w:ascii="FangSong_GB2312" w:hAnsi="FangSong_GB2312" w:eastAsia="FangSong_GB2312" w:cs="FangSong_GB2312"/>
          <w:kern w:val="0"/>
          <w:sz w:val="27"/>
          <w:szCs w:val="27"/>
          <w:u w:val="none" w:color="auto"/>
        </w:rPr>
      </w:pPr>
    </w:p>
    <w:p w14:paraId="0161386B">
      <w:pPr>
        <w:keepNext w:val="0"/>
        <w:keepLines w:val="0"/>
        <w:pageBreakBefore w:val="0"/>
        <w:widowControl/>
        <w:kinsoku/>
        <w:wordWrap/>
        <w:overflowPunct/>
        <w:topLinePunct w:val="0"/>
        <w:autoSpaceDE/>
        <w:autoSpaceDN/>
        <w:bidi w:val="0"/>
        <w:spacing w:line="560" w:lineRule="exact"/>
        <w:jc w:val="both"/>
        <w:rPr>
          <w:rFonts w:ascii="FangSong_GB2312" w:hAnsi="FangSong_GB2312" w:eastAsia="FangSong_GB2312" w:cs="FangSong_GB2312"/>
          <w:kern w:val="0"/>
          <w:sz w:val="27"/>
          <w:szCs w:val="27"/>
          <w:u w:val="none" w:color="auto"/>
        </w:rPr>
      </w:pPr>
    </w:p>
    <w:p w14:paraId="3E943478">
      <w:pPr>
        <w:pStyle w:val="31"/>
        <w:keepNext w:val="0"/>
        <w:keepLines w:val="0"/>
        <w:pageBreakBefore w:val="0"/>
        <w:widowControl/>
        <w:kinsoku/>
        <w:wordWrap/>
        <w:overflowPunct/>
        <w:topLinePunct w:val="0"/>
        <w:autoSpaceDE/>
        <w:autoSpaceDN/>
        <w:bidi w:val="0"/>
        <w:spacing w:line="560" w:lineRule="exact"/>
        <w:ind w:firstLine="643"/>
        <w:jc w:val="both"/>
        <w:rPr>
          <w:rFonts w:ascii="黑体" w:hAnsi="黑体" w:eastAsia="黑体" w:cs="黑体"/>
          <w:b/>
          <w:bCs/>
          <w:kern w:val="0"/>
          <w:sz w:val="32"/>
          <w:szCs w:val="32"/>
          <w:u w:val="none" w:color="auto"/>
        </w:rPr>
      </w:pPr>
    </w:p>
    <w:p w14:paraId="2096EAC3">
      <w:pPr>
        <w:pStyle w:val="31"/>
        <w:keepNext w:val="0"/>
        <w:keepLines w:val="0"/>
        <w:pageBreakBefore w:val="0"/>
        <w:widowControl/>
        <w:kinsoku/>
        <w:wordWrap/>
        <w:overflowPunct/>
        <w:topLinePunct w:val="0"/>
        <w:autoSpaceDE/>
        <w:autoSpaceDN/>
        <w:bidi w:val="0"/>
        <w:spacing w:line="560" w:lineRule="exact"/>
        <w:ind w:firstLine="643"/>
        <w:jc w:val="both"/>
        <w:rPr>
          <w:rFonts w:ascii="黑体" w:hAnsi="黑体" w:eastAsia="黑体" w:cs="黑体"/>
          <w:b/>
          <w:bCs/>
          <w:kern w:val="0"/>
          <w:sz w:val="32"/>
          <w:szCs w:val="32"/>
          <w:u w:val="none" w:color="auto"/>
        </w:rPr>
      </w:pPr>
    </w:p>
    <w:p w14:paraId="4A632C80">
      <w:pPr>
        <w:keepNext w:val="0"/>
        <w:keepLines w:val="0"/>
        <w:pageBreakBefore w:val="0"/>
        <w:widowControl/>
        <w:kinsoku/>
        <w:wordWrap/>
        <w:overflowPunct/>
        <w:topLinePunct w:val="0"/>
        <w:autoSpaceDE/>
        <w:autoSpaceDN/>
        <w:bidi w:val="0"/>
        <w:spacing w:line="560" w:lineRule="exact"/>
        <w:jc w:val="center"/>
        <w:rPr>
          <w:rFonts w:ascii="黑体" w:hAnsi="黑体" w:eastAsia="黑体" w:cs="黑体"/>
          <w:b/>
          <w:bCs/>
          <w:kern w:val="0"/>
          <w:sz w:val="32"/>
          <w:szCs w:val="32"/>
          <w:u w:val="none" w:color="auto"/>
        </w:rPr>
      </w:pPr>
      <w:r>
        <w:rPr>
          <w:rFonts w:ascii="FangSong_GB2312" w:hAnsi="FangSong_GB2312" w:eastAsia="FangSong_GB2312" w:cs="FangSong_GB2312"/>
          <w:kern w:val="0"/>
          <w:sz w:val="27"/>
          <w:szCs w:val="27"/>
          <w:u w:val="none" w:color="auto"/>
        </w:rPr>
        <w:t>图</w:t>
      </w:r>
      <w:r>
        <w:rPr>
          <w:rFonts w:ascii="times_new_roman" w:hAnsi="times_new_roman" w:eastAsia="times_new_roman" w:cs="times_new_roman"/>
          <w:kern w:val="0"/>
          <w:sz w:val="27"/>
          <w:szCs w:val="27"/>
          <w:u w:val="none" w:color="auto"/>
        </w:rPr>
        <w:t>1</w:t>
      </w:r>
      <w:r>
        <w:rPr>
          <w:rFonts w:ascii="FangSong_GB2312" w:hAnsi="FangSong_GB2312" w:eastAsia="FangSong_GB2312" w:cs="FangSong_GB2312"/>
          <w:kern w:val="0"/>
          <w:sz w:val="27"/>
          <w:szCs w:val="27"/>
          <w:u w:val="none" w:color="auto"/>
        </w:rPr>
        <w:t>.收入决算图</w:t>
      </w:r>
    </w:p>
    <w:p w14:paraId="62E6A59E">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highlight w:val="none"/>
          <w:u w:val="none" w:color="auto"/>
        </w:rPr>
      </w:pPr>
      <w:r>
        <w:rPr>
          <w:rFonts w:ascii="黑体" w:hAnsi="黑体" w:eastAsia="黑体" w:cs="黑体"/>
          <w:b/>
          <w:bCs/>
          <w:kern w:val="0"/>
          <w:sz w:val="32"/>
          <w:szCs w:val="32"/>
          <w:highlight w:val="none"/>
          <w:u w:val="none" w:color="auto"/>
        </w:rPr>
        <w:t>三、支出决算情况说明</w:t>
      </w:r>
    </w:p>
    <w:p w14:paraId="4E125012">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巴彦淖尔市卫生健康委员会部门 2025年度本年支出决算合计 161068.10万元，其中：</w:t>
      </w:r>
    </w:p>
    <w:p w14:paraId="4C442803">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基本支出 109050.67万元，占 67.70%；</w:t>
      </w:r>
    </w:p>
    <w:p w14:paraId="685071B1">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项目支出 52017.42万元，占 32.30%；</w:t>
      </w:r>
    </w:p>
    <w:p w14:paraId="71B30E47">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上缴上级支出 0万元，占 0%；</w:t>
      </w:r>
    </w:p>
    <w:p w14:paraId="78329D8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经营支出 0万元，占 0%；</w:t>
      </w:r>
    </w:p>
    <w:p w14:paraId="5D8CCC65">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对附属单位补助支出 0万元，占 0%。</w:t>
      </w:r>
    </w:p>
    <w:p w14:paraId="042C4ACD">
      <w:pPr>
        <w:keepNext w:val="0"/>
        <w:keepLines w:val="0"/>
        <w:pageBreakBefore w:val="0"/>
        <w:widowControl/>
        <w:kinsoku/>
        <w:wordWrap/>
        <w:overflowPunct/>
        <w:topLinePunct w:val="0"/>
        <w:autoSpaceDE/>
        <w:autoSpaceDN/>
        <w:bidi w:val="0"/>
        <w:spacing w:line="560" w:lineRule="exact"/>
        <w:jc w:val="both"/>
        <w:rPr>
          <w:rFonts w:ascii="Times New Roman" w:hAnsi="Times New Roman" w:eastAsia="Times New Roman" w:cs="Times New Roman"/>
          <w:strike w:val="0"/>
          <w:kern w:val="0"/>
          <w:sz w:val="24"/>
          <w:u w:val="none" w:color="auto"/>
        </w:rPr>
      </w:pPr>
      <w:r>
        <w:rPr>
          <w:rFonts w:hint="eastAsia" w:ascii="仿宋_GB2312" w:hAnsi="仿宋_GB2312" w:eastAsia="仿宋_GB2312" w:cs="仿宋_GB2312"/>
          <w:kern w:val="2"/>
          <w:sz w:val="32"/>
          <w:szCs w:val="32"/>
          <w:highlight w:val="none"/>
          <w:lang w:val="en-US" w:eastAsia="en-US" w:bidi="ar-SA"/>
        </w:rPr>
        <w:pict>
          <v:shape id="_x0000_s1027" o:spid="_x0000_s1027" o:spt="202" type="#_x0000_t202" style="position:absolute;left:0pt;margin-left:-18.85pt;margin-top:0.75pt;height:257.95pt;width:438.75pt;z-index:251660288;mso-width-relative:page;mso-height-relative:page;" fillcolor="#FFFFFF" filled="t" stroked="t" coordsize="21600,21600">
            <v:path/>
            <v:fill on="t" color2="#FFFFFF" focussize="0,0"/>
            <v:stroke color="#000000" joinstyle="miter"/>
            <v:imagedata o:title=""/>
            <o:lock v:ext="edit" aspectratio="f"/>
            <v:textbox>
              <w:txbxContent>
                <w:p w14:paraId="19A84A58">
                  <w:r>
                    <w:rPr>
                      <w:rFonts w:ascii="Times New Roman" w:hAnsi="Times New Roman" w:eastAsia="Times New Roman" w:cs="Times New Roman"/>
                      <w:strike w:val="0"/>
                      <w:kern w:val="0"/>
                      <w:sz w:val="24"/>
                      <w:u w:val="none" w:color="auto"/>
                    </w:rPr>
                    <w:drawing>
                      <wp:inline distT="0" distB="0" distL="114300" distR="114300">
                        <wp:extent cx="5420995" cy="3134995"/>
                        <wp:effectExtent l="0" t="0" r="8255" b="825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7"/>
                                <a:stretch>
                                  <a:fillRect/>
                                </a:stretch>
                              </pic:blipFill>
                              <pic:spPr>
                                <a:xfrm>
                                  <a:off x="0" y="0"/>
                                  <a:ext cx="5420995" cy="3134995"/>
                                </a:xfrm>
                                <a:prstGeom prst="rect">
                                  <a:avLst/>
                                </a:prstGeom>
                                <a:noFill/>
                                <a:ln>
                                  <a:noFill/>
                                </a:ln>
                              </pic:spPr>
                            </pic:pic>
                          </a:graphicData>
                        </a:graphic>
                      </wp:inline>
                    </w:drawing>
                  </w:r>
                </w:p>
              </w:txbxContent>
            </v:textbox>
          </v:shape>
        </w:pict>
      </w:r>
    </w:p>
    <w:p w14:paraId="34A3E372">
      <w:pPr>
        <w:keepNext w:val="0"/>
        <w:keepLines w:val="0"/>
        <w:pageBreakBefore w:val="0"/>
        <w:widowControl/>
        <w:kinsoku/>
        <w:wordWrap/>
        <w:overflowPunct/>
        <w:topLinePunct w:val="0"/>
        <w:autoSpaceDE/>
        <w:autoSpaceDN/>
        <w:bidi w:val="0"/>
        <w:spacing w:line="560" w:lineRule="exact"/>
        <w:jc w:val="both"/>
        <w:rPr>
          <w:rFonts w:ascii="Times New Roman" w:hAnsi="Times New Roman" w:eastAsia="Times New Roman" w:cs="Times New Roman"/>
          <w:strike w:val="0"/>
          <w:kern w:val="0"/>
          <w:sz w:val="24"/>
          <w:u w:val="none" w:color="auto"/>
        </w:rPr>
      </w:pPr>
    </w:p>
    <w:p w14:paraId="697A76E4">
      <w:pPr>
        <w:keepNext w:val="0"/>
        <w:keepLines w:val="0"/>
        <w:pageBreakBefore w:val="0"/>
        <w:widowControl/>
        <w:kinsoku/>
        <w:wordWrap/>
        <w:overflowPunct/>
        <w:topLinePunct w:val="0"/>
        <w:autoSpaceDE/>
        <w:autoSpaceDN/>
        <w:bidi w:val="0"/>
        <w:spacing w:line="560" w:lineRule="exact"/>
        <w:jc w:val="both"/>
        <w:rPr>
          <w:rFonts w:ascii="Times New Roman" w:hAnsi="Times New Roman" w:eastAsia="Times New Roman" w:cs="Times New Roman"/>
          <w:strike w:val="0"/>
          <w:kern w:val="0"/>
          <w:sz w:val="24"/>
          <w:u w:val="none" w:color="auto"/>
        </w:rPr>
      </w:pPr>
    </w:p>
    <w:p w14:paraId="02F5E4FC">
      <w:pPr>
        <w:keepNext w:val="0"/>
        <w:keepLines w:val="0"/>
        <w:pageBreakBefore w:val="0"/>
        <w:widowControl/>
        <w:kinsoku/>
        <w:wordWrap/>
        <w:overflowPunct/>
        <w:topLinePunct w:val="0"/>
        <w:autoSpaceDE/>
        <w:autoSpaceDN/>
        <w:bidi w:val="0"/>
        <w:spacing w:line="560" w:lineRule="exact"/>
        <w:jc w:val="both"/>
        <w:rPr>
          <w:rFonts w:ascii="Times New Roman" w:hAnsi="Times New Roman" w:eastAsia="Times New Roman" w:cs="Times New Roman"/>
          <w:strike w:val="0"/>
          <w:kern w:val="0"/>
          <w:sz w:val="24"/>
          <w:u w:val="none" w:color="auto"/>
        </w:rPr>
      </w:pPr>
    </w:p>
    <w:p w14:paraId="45547208">
      <w:pPr>
        <w:keepNext w:val="0"/>
        <w:keepLines w:val="0"/>
        <w:pageBreakBefore w:val="0"/>
        <w:widowControl/>
        <w:kinsoku/>
        <w:wordWrap/>
        <w:overflowPunct/>
        <w:topLinePunct w:val="0"/>
        <w:autoSpaceDE/>
        <w:autoSpaceDN/>
        <w:bidi w:val="0"/>
        <w:spacing w:line="560" w:lineRule="exact"/>
        <w:jc w:val="both"/>
        <w:rPr>
          <w:rFonts w:ascii="Times New Roman" w:hAnsi="Times New Roman" w:eastAsia="Times New Roman" w:cs="Times New Roman"/>
          <w:kern w:val="0"/>
          <w:sz w:val="24"/>
          <w:u w:val="none" w:color="auto"/>
        </w:rPr>
      </w:pPr>
    </w:p>
    <w:p w14:paraId="684294AB">
      <w:pPr>
        <w:keepNext w:val="0"/>
        <w:keepLines w:val="0"/>
        <w:pageBreakBefore w:val="0"/>
        <w:widowControl/>
        <w:kinsoku/>
        <w:wordWrap/>
        <w:overflowPunct/>
        <w:topLinePunct w:val="0"/>
        <w:autoSpaceDE/>
        <w:autoSpaceDN/>
        <w:bidi w:val="0"/>
        <w:spacing w:line="560" w:lineRule="exact"/>
        <w:jc w:val="both"/>
        <w:rPr>
          <w:rFonts w:ascii="Times New Roman" w:hAnsi="Times New Roman" w:eastAsia="Times New Roman" w:cs="Times New Roman"/>
          <w:kern w:val="0"/>
          <w:sz w:val="24"/>
          <w:u w:val="none" w:color="auto"/>
        </w:rPr>
      </w:pPr>
    </w:p>
    <w:p w14:paraId="4FE291B6">
      <w:pPr>
        <w:keepNext w:val="0"/>
        <w:keepLines w:val="0"/>
        <w:pageBreakBefore w:val="0"/>
        <w:widowControl/>
        <w:kinsoku/>
        <w:wordWrap/>
        <w:overflowPunct/>
        <w:topLinePunct w:val="0"/>
        <w:autoSpaceDE/>
        <w:autoSpaceDN/>
        <w:bidi w:val="0"/>
        <w:spacing w:line="560" w:lineRule="exact"/>
        <w:jc w:val="both"/>
        <w:rPr>
          <w:rFonts w:ascii="Times New Roman" w:hAnsi="Times New Roman" w:eastAsia="Times New Roman" w:cs="Times New Roman"/>
          <w:kern w:val="0"/>
          <w:sz w:val="24"/>
          <w:u w:val="none" w:color="auto"/>
        </w:rPr>
      </w:pPr>
    </w:p>
    <w:p w14:paraId="50392564">
      <w:pPr>
        <w:keepNext w:val="0"/>
        <w:keepLines w:val="0"/>
        <w:pageBreakBefore w:val="0"/>
        <w:widowControl/>
        <w:kinsoku/>
        <w:wordWrap/>
        <w:overflowPunct/>
        <w:topLinePunct w:val="0"/>
        <w:autoSpaceDE/>
        <w:autoSpaceDN/>
        <w:bidi w:val="0"/>
        <w:spacing w:line="560" w:lineRule="exact"/>
        <w:jc w:val="both"/>
        <w:rPr>
          <w:rFonts w:ascii="黑体" w:hAnsi="黑体" w:eastAsia="黑体" w:cs="黑体"/>
          <w:b/>
          <w:bCs/>
          <w:kern w:val="0"/>
          <w:sz w:val="32"/>
          <w:szCs w:val="32"/>
          <w:u w:val="none" w:color="auto"/>
        </w:rPr>
      </w:pPr>
      <w:r>
        <w:rPr>
          <w:rFonts w:ascii="FangSong_GB2312" w:hAnsi="FangSong_GB2312" w:eastAsia="FangSong_GB2312" w:cs="FangSong_GB2312"/>
          <w:kern w:val="0"/>
          <w:sz w:val="27"/>
          <w:szCs w:val="27"/>
          <w:u w:val="none" w:color="auto"/>
        </w:rPr>
        <w:t>图2.支出决算图</w:t>
      </w:r>
    </w:p>
    <w:p w14:paraId="7AE42AEB">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四、财政拨款收入支出决算总体情况说明</w:t>
      </w:r>
    </w:p>
    <w:p w14:paraId="63569B35">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p>
    <w:p w14:paraId="6B595AE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 xml:space="preserve">巴彦淖尔市卫生健康委员会部门 2025年度财政拨款收入、支出决算总计均为 36802.95万元，与年初预算相比，收、支总计各增加 </w:t>
      </w:r>
      <w:r>
        <w:rPr>
          <w:rFonts w:hint="eastAsia" w:ascii="仿宋_GB2312" w:hAnsi="仿宋_GB2312" w:eastAsia="仿宋_GB2312" w:cs="仿宋_GB2312"/>
          <w:kern w:val="2"/>
          <w:sz w:val="32"/>
          <w:szCs w:val="32"/>
          <w:highlight w:val="none"/>
          <w:lang w:val="en-US" w:eastAsia="zh-CN" w:bidi="ar-SA"/>
        </w:rPr>
        <w:t>11725.81</w:t>
      </w:r>
      <w:r>
        <w:rPr>
          <w:rFonts w:hint="eastAsia" w:ascii="仿宋_GB2312" w:hAnsi="仿宋_GB2312" w:eastAsia="仿宋_GB2312" w:cs="仿宋_GB2312"/>
          <w:kern w:val="2"/>
          <w:sz w:val="32"/>
          <w:szCs w:val="32"/>
          <w:highlight w:val="none"/>
          <w:lang w:val="en-US" w:eastAsia="en-US" w:bidi="ar-SA"/>
        </w:rPr>
        <w:t>万元，增长</w:t>
      </w:r>
      <w:r>
        <w:rPr>
          <w:rFonts w:hint="eastAsia" w:ascii="仿宋_GB2312" w:hAnsi="仿宋_GB2312" w:eastAsia="仿宋_GB2312" w:cs="仿宋_GB2312"/>
          <w:kern w:val="2"/>
          <w:sz w:val="32"/>
          <w:szCs w:val="32"/>
          <w:highlight w:val="none"/>
          <w:lang w:val="en-US" w:eastAsia="zh-CN" w:bidi="ar-SA"/>
        </w:rPr>
        <w:t>46.76</w:t>
      </w:r>
      <w:r>
        <w:rPr>
          <w:rFonts w:hint="eastAsia" w:ascii="仿宋_GB2312" w:hAnsi="仿宋_GB2312" w:eastAsia="仿宋_GB2312" w:cs="仿宋_GB2312"/>
          <w:kern w:val="2"/>
          <w:sz w:val="32"/>
          <w:szCs w:val="32"/>
          <w:highlight w:val="none"/>
          <w:lang w:val="en-US" w:eastAsia="en-US" w:bidi="ar-SA"/>
        </w:rPr>
        <w:t>%，变动原因：</w:t>
      </w:r>
      <w:r>
        <w:rPr>
          <w:rFonts w:hint="eastAsia" w:ascii="仿宋_GB2312" w:hAnsi="仿宋_GB2312" w:eastAsia="仿宋_GB2312" w:cs="仿宋_GB2312"/>
          <w:kern w:val="2"/>
          <w:sz w:val="32"/>
          <w:szCs w:val="32"/>
          <w:highlight w:val="none"/>
          <w:lang w:val="en-US" w:eastAsia="zh-CN" w:bidi="ar-SA"/>
        </w:rPr>
        <w:t>决算中包括上级补助资金和自有资金</w:t>
      </w:r>
      <w:r>
        <w:rPr>
          <w:rFonts w:hint="eastAsia" w:ascii="仿宋_GB2312" w:hAnsi="仿宋_GB2312" w:eastAsia="仿宋_GB2312" w:cs="仿宋_GB2312"/>
          <w:kern w:val="2"/>
          <w:sz w:val="32"/>
          <w:szCs w:val="32"/>
          <w:highlight w:val="none"/>
          <w:lang w:val="en-US" w:eastAsia="en-US" w:bidi="ar-SA"/>
        </w:rPr>
        <w:t>；与上年决算相比，收、支总计各增加 710.44万元，增长 1.97%，变动原因：</w:t>
      </w:r>
      <w:r>
        <w:rPr>
          <w:rFonts w:hint="eastAsia" w:ascii="仿宋_GB2312" w:hAnsi="仿宋_GB2312" w:eastAsia="仿宋_GB2312" w:cs="仿宋_GB2312"/>
          <w:kern w:val="2"/>
          <w:sz w:val="32"/>
          <w:szCs w:val="32"/>
          <w:highlight w:val="none"/>
          <w:lang w:val="en-US" w:eastAsia="zh-CN" w:bidi="ar-SA"/>
        </w:rPr>
        <w:t>上级补助资金增加</w:t>
      </w:r>
      <w:r>
        <w:rPr>
          <w:rFonts w:hint="eastAsia" w:ascii="仿宋_GB2312" w:hAnsi="仿宋_GB2312" w:eastAsia="仿宋_GB2312" w:cs="仿宋_GB2312"/>
          <w:kern w:val="2"/>
          <w:sz w:val="32"/>
          <w:szCs w:val="32"/>
          <w:highlight w:val="none"/>
          <w:lang w:val="en-US" w:eastAsia="en-US" w:bidi="ar-SA"/>
        </w:rPr>
        <w:t>。</w:t>
      </w:r>
    </w:p>
    <w:p w14:paraId="16C165D2">
      <w:pPr>
        <w:pStyle w:val="31"/>
        <w:keepNext w:val="0"/>
        <w:keepLines w:val="0"/>
        <w:pageBreakBefore w:val="0"/>
        <w:widowControl/>
        <w:numPr>
          <w:ilvl w:val="0"/>
          <w:numId w:val="1"/>
        </w:numPr>
        <w:kinsoku/>
        <w:wordWrap/>
        <w:overflowPunct/>
        <w:topLinePunct w:val="0"/>
        <w:autoSpaceDE/>
        <w:autoSpaceDN/>
        <w:bidi w:val="0"/>
        <w:spacing w:line="560" w:lineRule="exact"/>
        <w:ind w:firstLine="643"/>
        <w:jc w:val="both"/>
        <w:rPr>
          <w:rFonts w:ascii="黑体" w:hAnsi="黑体" w:eastAsia="黑体" w:cs="黑体"/>
          <w:b/>
          <w:bCs/>
          <w:kern w:val="0"/>
          <w:sz w:val="32"/>
          <w:szCs w:val="32"/>
          <w:u w:val="none" w:color="auto"/>
        </w:rPr>
      </w:pPr>
      <w:r>
        <w:rPr>
          <w:rFonts w:ascii="黑体" w:hAnsi="黑体" w:eastAsia="黑体" w:cs="黑体"/>
          <w:b/>
          <w:bCs/>
          <w:kern w:val="0"/>
          <w:sz w:val="32"/>
          <w:szCs w:val="32"/>
          <w:u w:val="none" w:color="auto"/>
        </w:rPr>
        <w:t>一般公共预算财政拨款支出决算情况说明</w:t>
      </w:r>
    </w:p>
    <w:p w14:paraId="22753F5A">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巴彦淖尔市卫生健康委员会部门 2025年度一般公共预算财政拨款支出决算 34401.05万元。与年初预算 25502.55万元相比，完成年初预算的 134.89%。其中：</w:t>
      </w:r>
    </w:p>
    <w:p w14:paraId="2349D036">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（一）一般公共服务（类）</w:t>
      </w:r>
    </w:p>
    <w:p w14:paraId="4EBBCC9C">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一般公共服务（类）决算数为 17.69万元，与年初预算相比增加</w:t>
      </w:r>
      <w:r>
        <w:rPr>
          <w:rFonts w:hint="eastAsia" w:ascii="仿宋_GB2312" w:hAnsi="仿宋_GB2312" w:eastAsia="仿宋_GB2312" w:cs="仿宋_GB2312"/>
          <w:kern w:val="2"/>
          <w:sz w:val="32"/>
          <w:szCs w:val="32"/>
          <w:highlight w:val="none"/>
          <w:lang w:val="en-US" w:eastAsia="zh-CN" w:bidi="ar-SA"/>
        </w:rPr>
        <w:t>17.69</w:t>
      </w:r>
      <w:r>
        <w:rPr>
          <w:rFonts w:hint="eastAsia" w:ascii="仿宋_GB2312" w:hAnsi="仿宋_GB2312" w:eastAsia="仿宋_GB2312" w:cs="仿宋_GB2312"/>
          <w:kern w:val="2"/>
          <w:sz w:val="32"/>
          <w:szCs w:val="32"/>
          <w:highlight w:val="none"/>
          <w:lang w:val="en-US" w:eastAsia="en-US" w:bidi="ar-SA"/>
        </w:rPr>
        <w:t>万元。其中：</w:t>
      </w:r>
    </w:p>
    <w:p w14:paraId="5C34A6DE">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1．组织事务（款）一般行政管理事务（项）。年初预算</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17.69</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决算中包括上级补助资金和自有资金</w:t>
      </w:r>
      <w:r>
        <w:rPr>
          <w:rFonts w:hint="eastAsia" w:ascii="仿宋_GB2312" w:hAnsi="仿宋_GB2312" w:eastAsia="仿宋_GB2312" w:cs="仿宋_GB2312"/>
          <w:kern w:val="2"/>
          <w:sz w:val="32"/>
          <w:szCs w:val="32"/>
          <w:highlight w:val="none"/>
          <w:lang w:val="en-US" w:eastAsia="en-US" w:bidi="ar-SA"/>
        </w:rPr>
        <w:t>。</w:t>
      </w:r>
    </w:p>
    <w:p w14:paraId="1A680B14">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（二）</w:t>
      </w:r>
      <w:r>
        <w:rPr>
          <w:rFonts w:hint="eastAsia" w:ascii="方正楷体_GB2312" w:hAnsi="方正楷体_GB2312" w:eastAsia="方正楷体_GB2312" w:cs="方正楷体_GB2312"/>
          <w:b w:val="0"/>
          <w:bCs w:val="0"/>
          <w:kern w:val="0"/>
          <w:sz w:val="32"/>
          <w:szCs w:val="32"/>
          <w:u w:val="none" w:color="auto"/>
          <w:lang w:eastAsia="zh-CN"/>
        </w:rPr>
        <w:t>科学技术支出</w:t>
      </w:r>
      <w:r>
        <w:rPr>
          <w:rFonts w:hint="eastAsia" w:ascii="方正楷体_GB2312" w:hAnsi="方正楷体_GB2312" w:eastAsia="方正楷体_GB2312" w:cs="方正楷体_GB2312"/>
          <w:b w:val="0"/>
          <w:bCs w:val="0"/>
          <w:kern w:val="0"/>
          <w:sz w:val="32"/>
          <w:szCs w:val="32"/>
          <w:u w:val="none" w:color="auto"/>
        </w:rPr>
        <w:t>（类）</w:t>
      </w:r>
    </w:p>
    <w:p w14:paraId="026EFCA2">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科学技术类决算数为3257.75万元，与年初预算相比增加3257.75万元。其中：</w:t>
      </w:r>
    </w:p>
    <w:p w14:paraId="38AF9B2D">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1.基础研究（款）自然科学基金（项）。年初预算0万元，支出决算42.06万元，完成年初预算的0%。决算数与年初预算数的差异原因：决算中包括上级补助资金和自有资金。</w:t>
      </w:r>
    </w:p>
    <w:p w14:paraId="2759EFF1">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2.应用研究（款）其他应用研究支出（项）。年初预算0万元，支出决算5.09万元，完成年初预算的0%。决算数与年初预算数的差异原因：决算中包括上级补助资金和自有资金。</w:t>
      </w:r>
    </w:p>
    <w:p w14:paraId="1F0B72E9">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3.技术研究与开发（款）科技成果转化与扩散（项）。年初预算0万元，支出决算185.1万元，完成年初预算的0%。决算数与年初预算数的差异原因：决算中包括上级补助资金和自有资金。</w:t>
      </w:r>
    </w:p>
    <w:p w14:paraId="1CB4EB9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4.科技条件与服务（款）技术创新服务体系（项）。年初预算0万元，支出决算2910元，完成年初预算的0%。决算数与年初预算数的差异原因：决算中包括上级补助资金和自有资金。</w:t>
      </w:r>
    </w:p>
    <w:p w14:paraId="6EF3D19F">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5.科技条件与服务（款）科技条件专项（项）。年初预算0万元，支出决算115.5万元，完成年初预算的0%。决算数与年初预算数的差异原因：决算中包括上级补助资金和自有资金。</w:t>
      </w:r>
    </w:p>
    <w:p w14:paraId="060C9923">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（三）社会保障和就业支出（类）</w:t>
      </w:r>
    </w:p>
    <w:p w14:paraId="305F987A">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社会保障和就业支出（类）决算数为 3380.37万元，与年初预算相比增加（减少） -332.72万元。其中：</w:t>
      </w:r>
    </w:p>
    <w:p w14:paraId="1E72A672">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1.民政管理事务（款）老龄事务（项）。</w:t>
      </w:r>
      <w:r>
        <w:rPr>
          <w:rFonts w:hint="eastAsia" w:ascii="仿宋_GB2312" w:hAnsi="仿宋_GB2312" w:eastAsia="仿宋_GB2312" w:cs="仿宋_GB2312"/>
          <w:kern w:val="2"/>
          <w:sz w:val="32"/>
          <w:szCs w:val="32"/>
          <w:highlight w:val="none"/>
          <w:lang w:val="en-US" w:eastAsia="en-US" w:bidi="ar-SA"/>
        </w:rPr>
        <w:t>年初预算</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4.5</w:t>
      </w:r>
      <w:r>
        <w:rPr>
          <w:rFonts w:hint="eastAsia" w:ascii="仿宋_GB2312" w:hAnsi="仿宋_GB2312" w:eastAsia="仿宋_GB2312" w:cs="仿宋_GB2312"/>
          <w:kern w:val="2"/>
          <w:sz w:val="32"/>
          <w:szCs w:val="32"/>
          <w:highlight w:val="none"/>
          <w:lang w:val="en-US" w:eastAsia="en-US" w:bidi="ar-SA"/>
        </w:rPr>
        <w:t>元，完成年初预算的</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5163FAF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2</w:t>
      </w:r>
      <w:r>
        <w:rPr>
          <w:rFonts w:hint="eastAsia" w:ascii="仿宋_GB2312" w:hAnsi="仿宋_GB2312" w:eastAsia="仿宋_GB2312" w:cs="仿宋_GB2312"/>
          <w:kern w:val="2"/>
          <w:sz w:val="32"/>
          <w:szCs w:val="32"/>
          <w:highlight w:val="none"/>
          <w:lang w:val="en-US" w:eastAsia="en-US" w:bidi="ar-SA"/>
        </w:rPr>
        <w:t>．行政事业单位养老支出（款）行政单位离退休（项）。年初预算</w:t>
      </w:r>
      <w:r>
        <w:rPr>
          <w:rFonts w:hint="eastAsia" w:ascii="仿宋_GB2312" w:hAnsi="仿宋_GB2312" w:eastAsia="仿宋_GB2312" w:cs="仿宋_GB2312"/>
          <w:kern w:val="2"/>
          <w:sz w:val="32"/>
          <w:szCs w:val="32"/>
          <w:highlight w:val="none"/>
          <w:lang w:val="en-US" w:eastAsia="zh-CN" w:bidi="ar-SA"/>
        </w:rPr>
        <w:t>99.59</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54.48</w:t>
      </w:r>
      <w:r>
        <w:rPr>
          <w:rFonts w:hint="eastAsia" w:ascii="仿宋_GB2312" w:hAnsi="仿宋_GB2312" w:eastAsia="仿宋_GB2312" w:cs="仿宋_GB2312"/>
          <w:kern w:val="2"/>
          <w:sz w:val="32"/>
          <w:szCs w:val="32"/>
          <w:highlight w:val="none"/>
          <w:lang w:val="en-US" w:eastAsia="en-US" w:bidi="ar-SA"/>
        </w:rPr>
        <w:t>元，完成年初预算的</w:t>
      </w:r>
      <w:r>
        <w:rPr>
          <w:rFonts w:hint="eastAsia" w:ascii="仿宋_GB2312" w:hAnsi="仿宋_GB2312" w:eastAsia="仿宋_GB2312" w:cs="仿宋_GB2312"/>
          <w:kern w:val="2"/>
          <w:sz w:val="32"/>
          <w:szCs w:val="32"/>
          <w:highlight w:val="none"/>
          <w:lang w:val="en-US" w:eastAsia="zh-CN" w:bidi="ar-SA"/>
        </w:rPr>
        <w:t>54.7</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实际支出</w:t>
      </w:r>
      <w:r>
        <w:rPr>
          <w:rFonts w:hint="eastAsia" w:ascii="仿宋_GB2312" w:hAnsi="仿宋_GB2312" w:eastAsia="仿宋_GB2312" w:cs="仿宋_GB2312"/>
          <w:kern w:val="2"/>
          <w:sz w:val="32"/>
          <w:szCs w:val="32"/>
          <w:highlight w:val="none"/>
          <w:lang w:val="en-US" w:eastAsia="en-US" w:bidi="ar-SA"/>
        </w:rPr>
        <w:t>。</w:t>
      </w:r>
    </w:p>
    <w:p w14:paraId="138AF871">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3</w:t>
      </w:r>
      <w:r>
        <w:rPr>
          <w:rFonts w:hint="eastAsia" w:ascii="仿宋_GB2312" w:hAnsi="仿宋_GB2312" w:eastAsia="仿宋_GB2312" w:cs="仿宋_GB2312"/>
          <w:kern w:val="2"/>
          <w:sz w:val="32"/>
          <w:szCs w:val="32"/>
          <w:highlight w:val="none"/>
          <w:lang w:val="en-US" w:eastAsia="en-US" w:bidi="ar-SA"/>
        </w:rPr>
        <w:t>．行政事业单位养老支出（款）事业单位离退休（项）。年初预算</w:t>
      </w:r>
      <w:r>
        <w:rPr>
          <w:rFonts w:hint="eastAsia" w:ascii="仿宋_GB2312" w:hAnsi="仿宋_GB2312" w:eastAsia="仿宋_GB2312" w:cs="仿宋_GB2312"/>
          <w:kern w:val="2"/>
          <w:sz w:val="32"/>
          <w:szCs w:val="32"/>
          <w:highlight w:val="none"/>
          <w:lang w:val="en-US" w:eastAsia="zh-CN" w:bidi="ar-SA"/>
        </w:rPr>
        <w:t>1691.14</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1154.02</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68.24</w:t>
      </w:r>
      <w:r>
        <w:rPr>
          <w:rFonts w:hint="eastAsia" w:ascii="仿宋_GB2312" w:hAnsi="仿宋_GB2312" w:eastAsia="仿宋_GB2312" w:cs="仿宋_GB2312"/>
          <w:kern w:val="2"/>
          <w:sz w:val="32"/>
          <w:szCs w:val="32"/>
          <w:highlight w:val="none"/>
          <w:lang w:val="en-US" w:eastAsia="en-US" w:bidi="ar-SA"/>
        </w:rPr>
        <w:t>%。决算数与年初预算数的差异原因：人员减少。</w:t>
      </w:r>
    </w:p>
    <w:p w14:paraId="74592B9A">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4</w:t>
      </w:r>
      <w:r>
        <w:rPr>
          <w:rFonts w:hint="eastAsia" w:ascii="仿宋_GB2312" w:hAnsi="仿宋_GB2312" w:eastAsia="仿宋_GB2312" w:cs="仿宋_GB2312"/>
          <w:kern w:val="2"/>
          <w:sz w:val="32"/>
          <w:szCs w:val="32"/>
          <w:highlight w:val="none"/>
          <w:lang w:val="en-US" w:eastAsia="en-US" w:bidi="ar-SA"/>
        </w:rPr>
        <w:t>．行政事业单位养老支出（款）机关事业单位基本养老保险缴费支出（项）。年初预算</w:t>
      </w:r>
      <w:r>
        <w:rPr>
          <w:rFonts w:hint="eastAsia" w:ascii="仿宋_GB2312" w:hAnsi="仿宋_GB2312" w:eastAsia="仿宋_GB2312" w:cs="仿宋_GB2312"/>
          <w:kern w:val="2"/>
          <w:sz w:val="32"/>
          <w:szCs w:val="32"/>
          <w:highlight w:val="none"/>
          <w:lang w:val="en-US" w:eastAsia="zh-CN" w:bidi="ar-SA"/>
        </w:rPr>
        <w:t>1297.42</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1338.61</w:t>
      </w:r>
      <w:r>
        <w:rPr>
          <w:rFonts w:hint="eastAsia" w:ascii="仿宋_GB2312" w:hAnsi="仿宋_GB2312" w:eastAsia="仿宋_GB2312" w:cs="仿宋_GB2312"/>
          <w:kern w:val="2"/>
          <w:sz w:val="32"/>
          <w:szCs w:val="32"/>
          <w:highlight w:val="none"/>
          <w:lang w:val="en-US" w:eastAsia="en-US" w:bidi="ar-SA"/>
        </w:rPr>
        <w:t>万元，完成年初预算的10</w:t>
      </w:r>
      <w:r>
        <w:rPr>
          <w:rFonts w:hint="eastAsia" w:ascii="仿宋_GB2312" w:hAnsi="仿宋_GB2312" w:eastAsia="仿宋_GB2312" w:cs="仿宋_GB2312"/>
          <w:kern w:val="2"/>
          <w:sz w:val="32"/>
          <w:szCs w:val="32"/>
          <w:highlight w:val="none"/>
          <w:lang w:val="en-US" w:eastAsia="zh-CN" w:bidi="ar-SA"/>
        </w:rPr>
        <w:t>3.17</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实际支出</w:t>
      </w:r>
      <w:r>
        <w:rPr>
          <w:rFonts w:hint="eastAsia" w:ascii="仿宋_GB2312" w:hAnsi="仿宋_GB2312" w:eastAsia="仿宋_GB2312" w:cs="仿宋_GB2312"/>
          <w:kern w:val="2"/>
          <w:sz w:val="32"/>
          <w:szCs w:val="32"/>
          <w:highlight w:val="none"/>
          <w:lang w:val="en-US" w:eastAsia="en-US" w:bidi="ar-SA"/>
        </w:rPr>
        <w:t>。</w:t>
      </w:r>
    </w:p>
    <w:p w14:paraId="7552CF6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5</w:t>
      </w:r>
      <w:r>
        <w:rPr>
          <w:rFonts w:hint="eastAsia" w:ascii="仿宋_GB2312" w:hAnsi="仿宋_GB2312" w:eastAsia="仿宋_GB2312" w:cs="仿宋_GB2312"/>
          <w:kern w:val="2"/>
          <w:sz w:val="32"/>
          <w:szCs w:val="32"/>
          <w:highlight w:val="none"/>
          <w:lang w:val="en-US" w:eastAsia="en-US" w:bidi="ar-SA"/>
        </w:rPr>
        <w:t>．行政事业单位养老支出（款）机关事业单位职业年金缴费支出（项）。年初预算40</w:t>
      </w:r>
      <w:r>
        <w:rPr>
          <w:rFonts w:hint="eastAsia" w:ascii="仿宋_GB2312" w:hAnsi="仿宋_GB2312" w:eastAsia="仿宋_GB2312" w:cs="仿宋_GB2312"/>
          <w:kern w:val="2"/>
          <w:sz w:val="32"/>
          <w:szCs w:val="32"/>
          <w:highlight w:val="none"/>
          <w:lang w:val="en-US" w:eastAsia="zh-CN" w:bidi="ar-SA"/>
        </w:rPr>
        <w:t>7.52</w:t>
      </w:r>
      <w:r>
        <w:rPr>
          <w:rFonts w:hint="eastAsia" w:ascii="仿宋_GB2312" w:hAnsi="仿宋_GB2312" w:eastAsia="仿宋_GB2312" w:cs="仿宋_GB2312"/>
          <w:kern w:val="2"/>
          <w:sz w:val="32"/>
          <w:szCs w:val="32"/>
          <w:highlight w:val="none"/>
          <w:lang w:val="en-US" w:eastAsia="en-US" w:bidi="ar-SA"/>
        </w:rPr>
        <w:t>万元，支出决算467.</w:t>
      </w:r>
      <w:r>
        <w:rPr>
          <w:rFonts w:hint="eastAsia" w:ascii="仿宋_GB2312" w:hAnsi="仿宋_GB2312" w:eastAsia="仿宋_GB2312" w:cs="仿宋_GB2312"/>
          <w:kern w:val="2"/>
          <w:sz w:val="32"/>
          <w:szCs w:val="32"/>
          <w:highlight w:val="none"/>
          <w:lang w:val="en-US" w:eastAsia="zh-CN" w:bidi="ar-SA"/>
        </w:rPr>
        <w:t>16</w:t>
      </w:r>
      <w:r>
        <w:rPr>
          <w:rFonts w:hint="eastAsia" w:ascii="仿宋_GB2312" w:hAnsi="仿宋_GB2312" w:eastAsia="仿宋_GB2312" w:cs="仿宋_GB2312"/>
          <w:kern w:val="2"/>
          <w:sz w:val="32"/>
          <w:szCs w:val="32"/>
          <w:highlight w:val="none"/>
          <w:lang w:val="en-US" w:eastAsia="en-US" w:bidi="ar-SA"/>
        </w:rPr>
        <w:t>万元，完成年初预算的11</w:t>
      </w:r>
      <w:r>
        <w:rPr>
          <w:rFonts w:hint="eastAsia" w:ascii="仿宋_GB2312" w:hAnsi="仿宋_GB2312" w:eastAsia="仿宋_GB2312" w:cs="仿宋_GB2312"/>
          <w:kern w:val="2"/>
          <w:sz w:val="32"/>
          <w:szCs w:val="32"/>
          <w:highlight w:val="none"/>
          <w:lang w:val="en-US" w:eastAsia="zh-CN" w:bidi="ar-SA"/>
        </w:rPr>
        <w:t>4.63</w:t>
      </w:r>
      <w:r>
        <w:rPr>
          <w:rFonts w:hint="eastAsia" w:ascii="仿宋_GB2312" w:hAnsi="仿宋_GB2312" w:eastAsia="仿宋_GB2312" w:cs="仿宋_GB2312"/>
          <w:kern w:val="2"/>
          <w:sz w:val="32"/>
          <w:szCs w:val="32"/>
          <w:highlight w:val="none"/>
          <w:lang w:val="en-US" w:eastAsia="en-US" w:bidi="ar-SA"/>
        </w:rPr>
        <w:t>%。决算数与年初预算数的差异原因：基数增长。</w:t>
      </w:r>
    </w:p>
    <w:p w14:paraId="73AA0A8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6</w:t>
      </w:r>
      <w:r>
        <w:rPr>
          <w:rFonts w:hint="eastAsia" w:ascii="仿宋_GB2312" w:hAnsi="仿宋_GB2312" w:eastAsia="仿宋_GB2312" w:cs="仿宋_GB2312"/>
          <w:kern w:val="2"/>
          <w:sz w:val="32"/>
          <w:szCs w:val="32"/>
          <w:highlight w:val="none"/>
          <w:lang w:val="en-US" w:eastAsia="en-US" w:bidi="ar-SA"/>
        </w:rPr>
        <w:t>.抚恤（款）死亡抚恤（项）。年初预算</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295.92</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7C46735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7</w:t>
      </w:r>
      <w:r>
        <w:rPr>
          <w:rFonts w:hint="eastAsia" w:ascii="仿宋_GB2312" w:hAnsi="仿宋_GB2312" w:eastAsia="仿宋_GB2312" w:cs="仿宋_GB2312"/>
          <w:kern w:val="2"/>
          <w:sz w:val="32"/>
          <w:szCs w:val="32"/>
          <w:highlight w:val="none"/>
          <w:lang w:val="en-US" w:eastAsia="en-US" w:bidi="ar-SA"/>
        </w:rPr>
        <w:t>.退役安置（款）军队转业干部安置（项）。年初预算0万元，支出决算</w:t>
      </w:r>
      <w:r>
        <w:rPr>
          <w:rFonts w:hint="eastAsia" w:ascii="仿宋_GB2312" w:hAnsi="仿宋_GB2312" w:eastAsia="仿宋_GB2312" w:cs="仿宋_GB2312"/>
          <w:kern w:val="2"/>
          <w:sz w:val="32"/>
          <w:szCs w:val="32"/>
          <w:highlight w:val="none"/>
          <w:lang w:val="en-US" w:eastAsia="zh-CN" w:bidi="ar-SA"/>
        </w:rPr>
        <w:t>4.92</w:t>
      </w:r>
      <w:r>
        <w:rPr>
          <w:rFonts w:hint="eastAsia" w:ascii="仿宋_GB2312" w:hAnsi="仿宋_GB2312" w:eastAsia="仿宋_GB2312" w:cs="仿宋_GB2312"/>
          <w:kern w:val="2"/>
          <w:sz w:val="32"/>
          <w:szCs w:val="32"/>
          <w:highlight w:val="none"/>
          <w:lang w:val="en-US" w:eastAsia="en-US" w:bidi="ar-SA"/>
        </w:rPr>
        <w:t>万元，完成年初预算的0%。决算数与年初预算数的差异原因：追加预算。</w:t>
      </w:r>
    </w:p>
    <w:p w14:paraId="520B23F3">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8</w:t>
      </w:r>
      <w:r>
        <w:rPr>
          <w:rFonts w:hint="eastAsia" w:ascii="仿宋_GB2312" w:hAnsi="仿宋_GB2312" w:eastAsia="仿宋_GB2312" w:cs="仿宋_GB2312"/>
          <w:kern w:val="2"/>
          <w:sz w:val="32"/>
          <w:szCs w:val="32"/>
          <w:highlight w:val="none"/>
          <w:lang w:val="en-US" w:eastAsia="en-US" w:bidi="ar-SA"/>
        </w:rPr>
        <w:t>.其他社会保障和就业支出（款）其他社会保障和就业支出（项）。年初预算</w:t>
      </w:r>
      <w:r>
        <w:rPr>
          <w:rFonts w:hint="eastAsia" w:ascii="仿宋_GB2312" w:hAnsi="仿宋_GB2312" w:eastAsia="仿宋_GB2312" w:cs="仿宋_GB2312"/>
          <w:kern w:val="2"/>
          <w:sz w:val="32"/>
          <w:szCs w:val="32"/>
          <w:highlight w:val="none"/>
          <w:lang w:val="en-US" w:eastAsia="zh-CN" w:bidi="ar-SA"/>
        </w:rPr>
        <w:t>45.08</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60.77</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134.8</w:t>
      </w:r>
      <w:r>
        <w:rPr>
          <w:rFonts w:hint="eastAsia" w:ascii="仿宋_GB2312" w:hAnsi="仿宋_GB2312" w:eastAsia="仿宋_GB2312" w:cs="仿宋_GB2312"/>
          <w:kern w:val="2"/>
          <w:sz w:val="32"/>
          <w:szCs w:val="32"/>
          <w:highlight w:val="none"/>
          <w:lang w:val="en-US" w:eastAsia="en-US" w:bidi="ar-SA"/>
        </w:rPr>
        <w:t>%。决算数与年初预算数的差异原因：实际支出。</w:t>
      </w:r>
    </w:p>
    <w:p w14:paraId="0D203356">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（四）卫生健康支出（类）</w:t>
      </w:r>
    </w:p>
    <w:p w14:paraId="46D85547">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卫生健康支出（类）决算数为 26487.78万元，与年初预算相比增加（减少） 5992.93万元。其中：</w:t>
      </w:r>
    </w:p>
    <w:p w14:paraId="788D445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1．卫生健康管理事务（款）行政运行（项）。年初预算</w:t>
      </w:r>
      <w:r>
        <w:rPr>
          <w:rFonts w:hint="eastAsia" w:ascii="仿宋_GB2312" w:hAnsi="仿宋_GB2312" w:eastAsia="仿宋_GB2312" w:cs="仿宋_GB2312"/>
          <w:kern w:val="2"/>
          <w:sz w:val="32"/>
          <w:szCs w:val="32"/>
          <w:highlight w:val="none"/>
          <w:lang w:val="en-US" w:eastAsia="zh-CN" w:bidi="ar-SA"/>
        </w:rPr>
        <w:t>422.07</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461.76</w:t>
      </w:r>
      <w:r>
        <w:rPr>
          <w:rFonts w:hint="eastAsia" w:ascii="仿宋_GB2312" w:hAnsi="仿宋_GB2312" w:eastAsia="仿宋_GB2312" w:cs="仿宋_GB2312"/>
          <w:kern w:val="2"/>
          <w:sz w:val="32"/>
          <w:szCs w:val="32"/>
          <w:highlight w:val="none"/>
          <w:lang w:val="en-US" w:eastAsia="en-US" w:bidi="ar-SA"/>
        </w:rPr>
        <w:t>万元，完成年初预算的1</w:t>
      </w:r>
      <w:r>
        <w:rPr>
          <w:rFonts w:hint="eastAsia" w:ascii="仿宋_GB2312" w:hAnsi="仿宋_GB2312" w:eastAsia="仿宋_GB2312" w:cs="仿宋_GB2312"/>
          <w:kern w:val="2"/>
          <w:sz w:val="32"/>
          <w:szCs w:val="32"/>
          <w:highlight w:val="none"/>
          <w:lang w:val="en-US" w:eastAsia="zh-CN" w:bidi="ar-SA"/>
        </w:rPr>
        <w:t>09.4</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135713B0">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2.卫生健康管理事务（款）一般行政管理事务（项）。年初预算60万元，支出决算</w:t>
      </w:r>
      <w:r>
        <w:rPr>
          <w:rFonts w:hint="eastAsia" w:ascii="仿宋_GB2312" w:hAnsi="仿宋_GB2312" w:eastAsia="仿宋_GB2312" w:cs="仿宋_GB2312"/>
          <w:kern w:val="2"/>
          <w:sz w:val="32"/>
          <w:szCs w:val="32"/>
          <w:highlight w:val="none"/>
          <w:lang w:val="en-US" w:eastAsia="zh-CN" w:bidi="ar-SA"/>
        </w:rPr>
        <w:t>62.39</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103.98</w:t>
      </w:r>
      <w:r>
        <w:rPr>
          <w:rFonts w:hint="eastAsia" w:ascii="仿宋_GB2312" w:hAnsi="仿宋_GB2312" w:eastAsia="仿宋_GB2312" w:cs="仿宋_GB2312"/>
          <w:kern w:val="2"/>
          <w:sz w:val="32"/>
          <w:szCs w:val="32"/>
          <w:highlight w:val="none"/>
          <w:lang w:val="en-US" w:eastAsia="en-US" w:bidi="ar-SA"/>
        </w:rPr>
        <w:t>%。决算数与年初预算数的差异原因：实际支出。</w:t>
      </w:r>
    </w:p>
    <w:p w14:paraId="4C1D6A2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3.公立医院（款）综合医院（项）。年初预算</w:t>
      </w:r>
      <w:r>
        <w:rPr>
          <w:rFonts w:hint="eastAsia" w:ascii="仿宋_GB2312" w:hAnsi="仿宋_GB2312" w:eastAsia="仿宋_GB2312" w:cs="仿宋_GB2312"/>
          <w:kern w:val="2"/>
          <w:sz w:val="32"/>
          <w:szCs w:val="32"/>
          <w:highlight w:val="none"/>
          <w:lang w:val="en-US" w:eastAsia="zh-CN" w:bidi="ar-SA"/>
        </w:rPr>
        <w:t>5265.05</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5526.56</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104.97</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534AD444">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4.公立医院（款）中医（民族）医院（项）。年初预算</w:t>
      </w:r>
      <w:r>
        <w:rPr>
          <w:rFonts w:hint="eastAsia" w:ascii="仿宋_GB2312" w:hAnsi="仿宋_GB2312" w:eastAsia="仿宋_GB2312" w:cs="仿宋_GB2312"/>
          <w:kern w:val="2"/>
          <w:sz w:val="32"/>
          <w:szCs w:val="32"/>
          <w:highlight w:val="none"/>
          <w:lang w:val="en-US" w:eastAsia="zh-CN" w:bidi="ar-SA"/>
        </w:rPr>
        <w:t>6224.71</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9208.16</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147.93</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7376D5FC">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5.公立医院（款）其他公立医院支出（项）。年初预算</w:t>
      </w:r>
      <w:r>
        <w:rPr>
          <w:rFonts w:hint="eastAsia" w:ascii="仿宋_GB2312" w:hAnsi="仿宋_GB2312" w:eastAsia="仿宋_GB2312" w:cs="仿宋_GB2312"/>
          <w:kern w:val="2"/>
          <w:sz w:val="32"/>
          <w:szCs w:val="32"/>
          <w:highlight w:val="none"/>
          <w:lang w:val="en-US" w:eastAsia="zh-CN" w:bidi="ar-SA"/>
        </w:rPr>
        <w:t>1703</w:t>
      </w:r>
      <w:r>
        <w:rPr>
          <w:rFonts w:hint="eastAsia" w:ascii="仿宋_GB2312" w:hAnsi="仿宋_GB2312" w:eastAsia="仿宋_GB2312" w:cs="仿宋_GB2312"/>
          <w:kern w:val="2"/>
          <w:sz w:val="32"/>
          <w:szCs w:val="32"/>
          <w:highlight w:val="none"/>
          <w:lang w:val="en-US" w:eastAsia="en-US" w:bidi="ar-SA"/>
        </w:rPr>
        <w:t>万元，支出决算2</w:t>
      </w:r>
      <w:r>
        <w:rPr>
          <w:rFonts w:hint="eastAsia" w:ascii="仿宋_GB2312" w:hAnsi="仿宋_GB2312" w:eastAsia="仿宋_GB2312" w:cs="仿宋_GB2312"/>
          <w:kern w:val="2"/>
          <w:sz w:val="32"/>
          <w:szCs w:val="32"/>
          <w:highlight w:val="none"/>
          <w:lang w:val="en-US" w:eastAsia="zh-CN" w:bidi="ar-SA"/>
        </w:rPr>
        <w:t>602.28</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152.81</w:t>
      </w:r>
      <w:r>
        <w:rPr>
          <w:rFonts w:hint="eastAsia" w:ascii="仿宋_GB2312" w:hAnsi="仿宋_GB2312" w:eastAsia="仿宋_GB2312" w:cs="仿宋_GB2312"/>
          <w:kern w:val="2"/>
          <w:sz w:val="32"/>
          <w:szCs w:val="32"/>
          <w:highlight w:val="none"/>
          <w:lang w:val="en-US" w:eastAsia="en-US" w:bidi="ar-SA"/>
        </w:rPr>
        <w:t>%。决算数与年初预算数的差异原因：决算中包括上级补助资金和自有资金。</w:t>
      </w:r>
    </w:p>
    <w:p w14:paraId="24F5AAD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6.基层医疗卫生机构（款）其他基层医疗卫生机构支出（项）。年</w:t>
      </w:r>
      <w:r>
        <w:rPr>
          <w:rFonts w:hint="eastAsia" w:ascii="仿宋_GB2312" w:hAnsi="仿宋_GB2312" w:eastAsia="仿宋_GB2312" w:cs="仿宋_GB2312"/>
          <w:kern w:val="2"/>
          <w:sz w:val="32"/>
          <w:szCs w:val="32"/>
          <w:highlight w:val="none"/>
          <w:lang w:val="en-US" w:eastAsia="en-US" w:bidi="ar-SA"/>
        </w:rPr>
        <w:t>初预算</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7.38</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追加预算</w:t>
      </w:r>
      <w:r>
        <w:rPr>
          <w:rFonts w:hint="eastAsia" w:ascii="仿宋_GB2312" w:hAnsi="仿宋_GB2312" w:eastAsia="仿宋_GB2312" w:cs="仿宋_GB2312"/>
          <w:kern w:val="2"/>
          <w:sz w:val="32"/>
          <w:szCs w:val="32"/>
          <w:highlight w:val="none"/>
          <w:lang w:val="en-US" w:eastAsia="en-US" w:bidi="ar-SA"/>
        </w:rPr>
        <w:t>。</w:t>
      </w:r>
    </w:p>
    <w:p w14:paraId="592E35D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7</w:t>
      </w:r>
      <w:r>
        <w:rPr>
          <w:rFonts w:hint="eastAsia" w:ascii="仿宋_GB2312" w:hAnsi="仿宋_GB2312" w:eastAsia="仿宋_GB2312" w:cs="仿宋_GB2312"/>
          <w:kern w:val="2"/>
          <w:sz w:val="32"/>
          <w:szCs w:val="32"/>
          <w:highlight w:val="none"/>
          <w:lang w:val="en-US" w:eastAsia="en-US" w:bidi="ar-SA"/>
        </w:rPr>
        <w:t>.公共卫生（款）疾病预防控制机构（项）。年初预算</w:t>
      </w:r>
      <w:r>
        <w:rPr>
          <w:rFonts w:hint="eastAsia" w:ascii="仿宋_GB2312" w:hAnsi="仿宋_GB2312" w:eastAsia="仿宋_GB2312" w:cs="仿宋_GB2312"/>
          <w:kern w:val="2"/>
          <w:sz w:val="32"/>
          <w:szCs w:val="32"/>
          <w:highlight w:val="none"/>
          <w:lang w:val="en-US" w:eastAsia="zh-CN" w:bidi="ar-SA"/>
        </w:rPr>
        <w:t>2747.69</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2825.85</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102.84</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47BBDCD2">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8</w:t>
      </w:r>
      <w:r>
        <w:rPr>
          <w:rFonts w:hint="eastAsia" w:ascii="仿宋_GB2312" w:hAnsi="仿宋_GB2312" w:eastAsia="仿宋_GB2312" w:cs="仿宋_GB2312"/>
          <w:kern w:val="2"/>
          <w:sz w:val="32"/>
          <w:szCs w:val="32"/>
          <w:highlight w:val="none"/>
          <w:lang w:val="en-US" w:eastAsia="en-US" w:bidi="ar-SA"/>
        </w:rPr>
        <w:t>.公共卫生（款）妇幼保健机构（项）。年初预算</w:t>
      </w:r>
      <w:r>
        <w:rPr>
          <w:rFonts w:hint="eastAsia" w:ascii="仿宋_GB2312" w:hAnsi="仿宋_GB2312" w:eastAsia="仿宋_GB2312" w:cs="仿宋_GB2312"/>
          <w:kern w:val="2"/>
          <w:sz w:val="32"/>
          <w:szCs w:val="32"/>
          <w:highlight w:val="none"/>
          <w:lang w:val="en-US" w:eastAsia="zh-CN" w:bidi="ar-SA"/>
        </w:rPr>
        <w:t>248.04</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278.14</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112.14</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5761D596">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9</w:t>
      </w:r>
      <w:r>
        <w:rPr>
          <w:rFonts w:hint="eastAsia" w:ascii="仿宋_GB2312" w:hAnsi="仿宋_GB2312" w:eastAsia="仿宋_GB2312" w:cs="仿宋_GB2312"/>
          <w:kern w:val="2"/>
          <w:sz w:val="32"/>
          <w:szCs w:val="32"/>
          <w:highlight w:val="none"/>
          <w:lang w:val="en-US" w:eastAsia="en-US" w:bidi="ar-SA"/>
        </w:rPr>
        <w:t>.公共卫生（款）应急救治机构（项）。年初预算</w:t>
      </w:r>
      <w:r>
        <w:rPr>
          <w:rFonts w:hint="eastAsia" w:ascii="仿宋_GB2312" w:hAnsi="仿宋_GB2312" w:eastAsia="仿宋_GB2312" w:cs="仿宋_GB2312"/>
          <w:kern w:val="2"/>
          <w:sz w:val="32"/>
          <w:szCs w:val="32"/>
          <w:highlight w:val="none"/>
          <w:lang w:val="en-US" w:eastAsia="zh-CN" w:bidi="ar-SA"/>
        </w:rPr>
        <w:t>388.14</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415</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106.92</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55CEB1D7">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10</w:t>
      </w:r>
      <w:r>
        <w:rPr>
          <w:rFonts w:hint="eastAsia" w:ascii="仿宋_GB2312" w:hAnsi="仿宋_GB2312" w:eastAsia="仿宋_GB2312" w:cs="仿宋_GB2312"/>
          <w:kern w:val="2"/>
          <w:sz w:val="32"/>
          <w:szCs w:val="32"/>
          <w:highlight w:val="none"/>
          <w:lang w:val="en-US" w:eastAsia="en-US" w:bidi="ar-SA"/>
        </w:rPr>
        <w:t>.公共卫生（款）采供血机构（项）。年初预算</w:t>
      </w:r>
      <w:r>
        <w:rPr>
          <w:rFonts w:hint="eastAsia" w:ascii="仿宋_GB2312" w:hAnsi="仿宋_GB2312" w:eastAsia="仿宋_GB2312" w:cs="仿宋_GB2312"/>
          <w:kern w:val="2"/>
          <w:sz w:val="32"/>
          <w:szCs w:val="32"/>
          <w:highlight w:val="none"/>
          <w:lang w:val="en-US" w:eastAsia="zh-CN" w:bidi="ar-SA"/>
        </w:rPr>
        <w:t>289.94</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308.12</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106.27</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6C02F28E">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11</w:t>
      </w:r>
      <w:r>
        <w:rPr>
          <w:rFonts w:hint="eastAsia" w:ascii="仿宋_GB2312" w:hAnsi="仿宋_GB2312" w:eastAsia="仿宋_GB2312" w:cs="仿宋_GB2312"/>
          <w:kern w:val="2"/>
          <w:sz w:val="32"/>
          <w:szCs w:val="32"/>
          <w:highlight w:val="none"/>
          <w:lang w:val="en-US" w:eastAsia="en-US" w:bidi="ar-SA"/>
        </w:rPr>
        <w:t>.公共卫生（款）基本公共卫生服务（项）。年初预算</w:t>
      </w:r>
      <w:r>
        <w:rPr>
          <w:rFonts w:hint="eastAsia" w:ascii="仿宋_GB2312" w:hAnsi="仿宋_GB2312" w:eastAsia="仿宋_GB2312" w:cs="仿宋_GB2312"/>
          <w:kern w:val="2"/>
          <w:sz w:val="32"/>
          <w:szCs w:val="32"/>
          <w:highlight w:val="none"/>
          <w:lang w:val="en-US" w:eastAsia="zh-CN" w:bidi="ar-SA"/>
        </w:rPr>
        <w:t>115.4</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434.84</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376.81</w:t>
      </w:r>
      <w:r>
        <w:rPr>
          <w:rFonts w:hint="eastAsia" w:ascii="仿宋_GB2312" w:hAnsi="仿宋_GB2312" w:eastAsia="仿宋_GB2312" w:cs="仿宋_GB2312"/>
          <w:kern w:val="2"/>
          <w:sz w:val="32"/>
          <w:szCs w:val="32"/>
          <w:highlight w:val="none"/>
          <w:lang w:val="en-US" w:eastAsia="en-US" w:bidi="ar-SA"/>
        </w:rPr>
        <w:t>%。决算数与年初预算数的差异原因：决算中包括上级补助资金和结转资金。</w:t>
      </w:r>
    </w:p>
    <w:p w14:paraId="1A3D42DD">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2</w:t>
      </w:r>
      <w:r>
        <w:rPr>
          <w:rFonts w:hint="eastAsia" w:ascii="仿宋_GB2312" w:hAnsi="仿宋_GB2312" w:eastAsia="仿宋_GB2312" w:cs="仿宋_GB2312"/>
          <w:kern w:val="2"/>
          <w:sz w:val="32"/>
          <w:szCs w:val="32"/>
          <w:highlight w:val="none"/>
          <w:lang w:val="en-US" w:eastAsia="en-US" w:bidi="ar-SA"/>
        </w:rPr>
        <w:t>.公共卫生（款）重大公共卫生服务（项）。年初预算</w:t>
      </w:r>
      <w:r>
        <w:rPr>
          <w:rFonts w:hint="eastAsia" w:ascii="仿宋_GB2312" w:hAnsi="仿宋_GB2312" w:eastAsia="仿宋_GB2312" w:cs="仿宋_GB2312"/>
          <w:kern w:val="2"/>
          <w:sz w:val="32"/>
          <w:szCs w:val="32"/>
          <w:highlight w:val="none"/>
          <w:lang w:val="en-US" w:eastAsia="zh-CN" w:bidi="ar-SA"/>
        </w:rPr>
        <w:t>875.25</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1084.06</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123.86</w:t>
      </w:r>
      <w:r>
        <w:rPr>
          <w:rFonts w:hint="eastAsia" w:ascii="仿宋_GB2312" w:hAnsi="仿宋_GB2312" w:eastAsia="仿宋_GB2312" w:cs="仿宋_GB2312"/>
          <w:kern w:val="2"/>
          <w:sz w:val="32"/>
          <w:szCs w:val="32"/>
          <w:highlight w:val="none"/>
          <w:lang w:val="en-US" w:eastAsia="en-US" w:bidi="ar-SA"/>
        </w:rPr>
        <w:t>%。决算数与年初预算数的差异原因：决算中包括上级补助资金和结转资金。</w:t>
      </w:r>
    </w:p>
    <w:p w14:paraId="27235181">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13.公共卫生（款）突发公共卫生事件应急处置（项）。年初预算0万元，支出决算152.9万元，完成年初预算的0%。决算数与年初预算数的差异原因：上级补助资金。</w:t>
      </w:r>
    </w:p>
    <w:p w14:paraId="0E0DF353">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14.公共卫生（款）其他公共卫生支出（项）。年初预算</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352.27</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%。决算数与年初预算数的差异原因：包括上级补助资金和结转资金。</w:t>
      </w:r>
    </w:p>
    <w:p w14:paraId="0EB64197">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15.</w:t>
      </w:r>
      <w:r>
        <w:rPr>
          <w:rFonts w:hint="eastAsia" w:ascii="仿宋_GB2312" w:hAnsi="仿宋_GB2312" w:eastAsia="仿宋_GB2312" w:cs="仿宋_GB2312"/>
          <w:kern w:val="2"/>
          <w:sz w:val="32"/>
          <w:szCs w:val="32"/>
          <w:highlight w:val="none"/>
          <w:lang w:val="en-US" w:eastAsia="en-US" w:bidi="ar-SA"/>
        </w:rPr>
        <w:t>计划生育事务（款）</w:t>
      </w:r>
      <w:r>
        <w:rPr>
          <w:rFonts w:hint="eastAsia" w:ascii="仿宋_GB2312" w:hAnsi="仿宋_GB2312" w:eastAsia="仿宋_GB2312" w:cs="仿宋_GB2312"/>
          <w:kern w:val="2"/>
          <w:sz w:val="32"/>
          <w:szCs w:val="32"/>
          <w:highlight w:val="none"/>
          <w:lang w:val="en-US" w:eastAsia="zh-CN" w:bidi="ar-SA"/>
        </w:rPr>
        <w:t>计划生育服务（项）。</w:t>
      </w:r>
      <w:r>
        <w:rPr>
          <w:rFonts w:hint="eastAsia" w:ascii="仿宋_GB2312" w:hAnsi="仿宋_GB2312" w:eastAsia="仿宋_GB2312" w:cs="仿宋_GB2312"/>
          <w:kern w:val="2"/>
          <w:sz w:val="32"/>
          <w:szCs w:val="32"/>
          <w:highlight w:val="none"/>
          <w:lang w:val="en-US" w:eastAsia="en-US" w:bidi="ar-SA"/>
        </w:rPr>
        <w:t>年初预算</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3</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0</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追加预算</w:t>
      </w:r>
      <w:r>
        <w:rPr>
          <w:rFonts w:hint="eastAsia" w:ascii="仿宋_GB2312" w:hAnsi="仿宋_GB2312" w:eastAsia="仿宋_GB2312" w:cs="仿宋_GB2312"/>
          <w:kern w:val="2"/>
          <w:sz w:val="32"/>
          <w:szCs w:val="32"/>
          <w:highlight w:val="none"/>
          <w:lang w:val="en-US" w:eastAsia="en-US" w:bidi="ar-SA"/>
        </w:rPr>
        <w:t>。</w:t>
      </w:r>
    </w:p>
    <w:p w14:paraId="3479F590">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6</w:t>
      </w:r>
      <w:r>
        <w:rPr>
          <w:rFonts w:hint="eastAsia" w:ascii="仿宋_GB2312" w:hAnsi="仿宋_GB2312" w:eastAsia="仿宋_GB2312" w:cs="仿宋_GB2312"/>
          <w:kern w:val="2"/>
          <w:sz w:val="32"/>
          <w:szCs w:val="32"/>
          <w:highlight w:val="none"/>
          <w:lang w:val="en-US" w:eastAsia="en-US" w:bidi="ar-SA"/>
        </w:rPr>
        <w:t>.计划生育事务（款）其他计划生育事务支</w:t>
      </w:r>
      <w:r>
        <w:rPr>
          <w:rFonts w:hint="eastAsia" w:ascii="仿宋_GB2312" w:hAnsi="仿宋_GB2312" w:eastAsia="仿宋_GB2312" w:cs="仿宋_GB2312"/>
          <w:kern w:val="2"/>
          <w:sz w:val="32"/>
          <w:szCs w:val="32"/>
          <w:highlight w:val="none"/>
          <w:lang w:val="en-US" w:eastAsia="zh-CN" w:bidi="ar-SA"/>
        </w:rPr>
        <w:t>出</w:t>
      </w:r>
      <w:r>
        <w:rPr>
          <w:rFonts w:hint="eastAsia" w:ascii="仿宋_GB2312" w:hAnsi="仿宋_GB2312" w:eastAsia="仿宋_GB2312" w:cs="仿宋_GB2312"/>
          <w:kern w:val="2"/>
          <w:sz w:val="32"/>
          <w:szCs w:val="32"/>
          <w:highlight w:val="none"/>
          <w:lang w:val="en-US" w:eastAsia="en-US" w:bidi="ar-SA"/>
        </w:rPr>
        <w:t>（项）。年初预算</w:t>
      </w:r>
      <w:r>
        <w:rPr>
          <w:rFonts w:hint="eastAsia" w:ascii="仿宋_GB2312" w:hAnsi="仿宋_GB2312" w:eastAsia="仿宋_GB2312" w:cs="仿宋_GB2312"/>
          <w:kern w:val="2"/>
          <w:sz w:val="32"/>
          <w:szCs w:val="32"/>
          <w:highlight w:val="none"/>
          <w:lang w:val="en-US" w:eastAsia="zh-CN" w:bidi="ar-SA"/>
        </w:rPr>
        <w:t>55</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79.06</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143.75</w:t>
      </w:r>
      <w:r>
        <w:rPr>
          <w:rFonts w:hint="eastAsia" w:ascii="仿宋_GB2312" w:hAnsi="仿宋_GB2312" w:eastAsia="仿宋_GB2312" w:cs="仿宋_GB2312"/>
          <w:kern w:val="2"/>
          <w:sz w:val="32"/>
          <w:szCs w:val="32"/>
          <w:highlight w:val="none"/>
          <w:lang w:val="en-US" w:eastAsia="en-US" w:bidi="ar-SA"/>
        </w:rPr>
        <w:t>%。决算数与年初预算数的差异原因：包括上级补助资金和结转资金。</w:t>
      </w:r>
    </w:p>
    <w:p w14:paraId="43B26B8F">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7</w:t>
      </w:r>
      <w:r>
        <w:rPr>
          <w:rFonts w:hint="eastAsia" w:ascii="仿宋_GB2312" w:hAnsi="仿宋_GB2312" w:eastAsia="仿宋_GB2312" w:cs="仿宋_GB2312"/>
          <w:kern w:val="2"/>
          <w:sz w:val="32"/>
          <w:szCs w:val="32"/>
          <w:highlight w:val="none"/>
          <w:lang w:val="en-US" w:eastAsia="en-US" w:bidi="ar-SA"/>
        </w:rPr>
        <w:t>.行政事业单位医疗（款）行政单位医疗（款）行政单位医疗（项）。年初预算</w:t>
      </w:r>
      <w:r>
        <w:rPr>
          <w:rFonts w:hint="eastAsia" w:ascii="仿宋_GB2312" w:hAnsi="仿宋_GB2312" w:eastAsia="仿宋_GB2312" w:cs="仿宋_GB2312"/>
          <w:kern w:val="2"/>
          <w:sz w:val="32"/>
          <w:szCs w:val="32"/>
          <w:highlight w:val="none"/>
          <w:lang w:val="en-US" w:eastAsia="zh-CN" w:bidi="ar-SA"/>
        </w:rPr>
        <w:t>23.29</w:t>
      </w:r>
      <w:r>
        <w:rPr>
          <w:rFonts w:hint="eastAsia" w:ascii="仿宋_GB2312" w:hAnsi="仿宋_GB2312" w:eastAsia="仿宋_GB2312" w:cs="仿宋_GB2312"/>
          <w:kern w:val="2"/>
          <w:sz w:val="32"/>
          <w:szCs w:val="32"/>
          <w:highlight w:val="none"/>
          <w:lang w:val="en-US" w:eastAsia="en-US" w:bidi="ar-SA"/>
        </w:rPr>
        <w:t>万元，支出决算25.</w:t>
      </w:r>
      <w:r>
        <w:rPr>
          <w:rFonts w:hint="eastAsia" w:ascii="仿宋_GB2312" w:hAnsi="仿宋_GB2312" w:eastAsia="仿宋_GB2312" w:cs="仿宋_GB2312"/>
          <w:kern w:val="2"/>
          <w:sz w:val="32"/>
          <w:szCs w:val="32"/>
          <w:highlight w:val="none"/>
          <w:lang w:val="en-US" w:eastAsia="zh-CN" w:bidi="ar-SA"/>
        </w:rPr>
        <w:t>51</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109.53</w:t>
      </w:r>
      <w:r>
        <w:rPr>
          <w:rFonts w:hint="eastAsia" w:ascii="仿宋_GB2312" w:hAnsi="仿宋_GB2312" w:eastAsia="仿宋_GB2312" w:cs="仿宋_GB2312"/>
          <w:kern w:val="2"/>
          <w:sz w:val="32"/>
          <w:szCs w:val="32"/>
          <w:highlight w:val="none"/>
          <w:lang w:val="en-US" w:eastAsia="en-US" w:bidi="ar-SA"/>
        </w:rPr>
        <w:t>%。决算数与年初预算数的差异原因：实际支出。</w:t>
      </w:r>
    </w:p>
    <w:p w14:paraId="4A66F40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8</w:t>
      </w:r>
      <w:r>
        <w:rPr>
          <w:rFonts w:hint="eastAsia" w:ascii="仿宋_GB2312" w:hAnsi="仿宋_GB2312" w:eastAsia="仿宋_GB2312" w:cs="仿宋_GB2312"/>
          <w:kern w:val="2"/>
          <w:sz w:val="32"/>
          <w:szCs w:val="32"/>
          <w:highlight w:val="none"/>
          <w:lang w:val="en-US" w:eastAsia="en-US" w:bidi="ar-SA"/>
        </w:rPr>
        <w:t>.行政事业单位医疗（款）事业单位医疗（项）。年初预算</w:t>
      </w:r>
      <w:r>
        <w:rPr>
          <w:rFonts w:hint="eastAsia" w:ascii="仿宋_GB2312" w:hAnsi="仿宋_GB2312" w:eastAsia="仿宋_GB2312" w:cs="仿宋_GB2312"/>
          <w:kern w:val="2"/>
          <w:sz w:val="32"/>
          <w:szCs w:val="32"/>
          <w:highlight w:val="none"/>
          <w:lang w:val="en-US" w:eastAsia="zh-CN" w:bidi="ar-SA"/>
        </w:rPr>
        <w:t>910.84</w:t>
      </w:r>
      <w:r>
        <w:rPr>
          <w:rFonts w:hint="eastAsia" w:ascii="仿宋_GB2312" w:hAnsi="仿宋_GB2312" w:eastAsia="仿宋_GB2312" w:cs="仿宋_GB2312"/>
          <w:kern w:val="2"/>
          <w:sz w:val="32"/>
          <w:szCs w:val="32"/>
          <w:highlight w:val="none"/>
          <w:lang w:val="en-US" w:eastAsia="en-US" w:bidi="ar-SA"/>
        </w:rPr>
        <w:t>万元，支出决算94</w:t>
      </w:r>
      <w:r>
        <w:rPr>
          <w:rFonts w:hint="eastAsia" w:ascii="仿宋_GB2312" w:hAnsi="仿宋_GB2312" w:eastAsia="仿宋_GB2312" w:cs="仿宋_GB2312"/>
          <w:kern w:val="2"/>
          <w:sz w:val="32"/>
          <w:szCs w:val="32"/>
          <w:highlight w:val="none"/>
          <w:lang w:val="en-US" w:eastAsia="zh-CN" w:bidi="ar-SA"/>
        </w:rPr>
        <w:t>7.12</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103.98</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7135C2FC">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9</w:t>
      </w:r>
      <w:r>
        <w:rPr>
          <w:rFonts w:hint="eastAsia" w:ascii="仿宋_GB2312" w:hAnsi="仿宋_GB2312" w:eastAsia="仿宋_GB2312" w:cs="仿宋_GB2312"/>
          <w:kern w:val="2"/>
          <w:sz w:val="32"/>
          <w:szCs w:val="32"/>
          <w:highlight w:val="none"/>
          <w:lang w:val="en-US" w:eastAsia="en-US" w:bidi="ar-SA"/>
        </w:rPr>
        <w:t>.行政事业单位医疗（款）公务员医疗补助（项）。年初预算3</w:t>
      </w:r>
      <w:r>
        <w:rPr>
          <w:rFonts w:hint="eastAsia" w:ascii="仿宋_GB2312" w:hAnsi="仿宋_GB2312" w:eastAsia="仿宋_GB2312" w:cs="仿宋_GB2312"/>
          <w:kern w:val="2"/>
          <w:sz w:val="32"/>
          <w:szCs w:val="32"/>
          <w:highlight w:val="none"/>
          <w:lang w:val="en-US" w:eastAsia="zh-CN" w:bidi="ar-SA"/>
        </w:rPr>
        <w:t>19.87</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334.49</w:t>
      </w:r>
      <w:r>
        <w:rPr>
          <w:rFonts w:hint="eastAsia" w:ascii="仿宋_GB2312" w:hAnsi="仿宋_GB2312" w:eastAsia="仿宋_GB2312" w:cs="仿宋_GB2312"/>
          <w:kern w:val="2"/>
          <w:sz w:val="32"/>
          <w:szCs w:val="32"/>
          <w:highlight w:val="none"/>
          <w:lang w:val="en-US" w:eastAsia="en-US" w:bidi="ar-SA"/>
        </w:rPr>
        <w:t>万元，完成年初预算的104.</w:t>
      </w:r>
      <w:r>
        <w:rPr>
          <w:rFonts w:hint="eastAsia" w:ascii="仿宋_GB2312" w:hAnsi="仿宋_GB2312" w:eastAsia="仿宋_GB2312" w:cs="仿宋_GB2312"/>
          <w:kern w:val="2"/>
          <w:sz w:val="32"/>
          <w:szCs w:val="32"/>
          <w:highlight w:val="none"/>
          <w:lang w:val="en-US" w:eastAsia="zh-CN" w:bidi="ar-SA"/>
        </w:rPr>
        <w:t>57</w:t>
      </w:r>
      <w:r>
        <w:rPr>
          <w:rFonts w:hint="eastAsia" w:ascii="仿宋_GB2312" w:hAnsi="仿宋_GB2312" w:eastAsia="仿宋_GB2312" w:cs="仿宋_GB2312"/>
          <w:kern w:val="2"/>
          <w:sz w:val="32"/>
          <w:szCs w:val="32"/>
          <w:highlight w:val="none"/>
          <w:lang w:val="en-US" w:eastAsia="en-US" w:bidi="ar-SA"/>
        </w:rPr>
        <w:t>%。决算数与年初预算数的差异原因：追加预算。</w:t>
      </w:r>
    </w:p>
    <w:p w14:paraId="3AD22A5A">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zh-CN" w:bidi="ar-SA"/>
        </w:rPr>
        <w:t>20</w:t>
      </w:r>
      <w:r>
        <w:rPr>
          <w:rFonts w:hint="eastAsia" w:ascii="仿宋_GB2312" w:hAnsi="仿宋_GB2312" w:eastAsia="仿宋_GB2312" w:cs="仿宋_GB2312"/>
          <w:kern w:val="2"/>
          <w:sz w:val="32"/>
          <w:szCs w:val="32"/>
          <w:highlight w:val="none"/>
          <w:lang w:val="en-US" w:eastAsia="en-US" w:bidi="ar-SA"/>
        </w:rPr>
        <w:t>.行政事业单位医疗（款）其他行政事业单位医疗支出（项）。年初预算95万元，支出决算6</w:t>
      </w:r>
      <w:r>
        <w:rPr>
          <w:rFonts w:hint="eastAsia" w:ascii="仿宋_GB2312" w:hAnsi="仿宋_GB2312" w:eastAsia="仿宋_GB2312" w:cs="仿宋_GB2312"/>
          <w:kern w:val="2"/>
          <w:sz w:val="32"/>
          <w:szCs w:val="32"/>
          <w:highlight w:val="none"/>
          <w:lang w:val="en-US" w:eastAsia="zh-CN" w:bidi="ar-SA"/>
        </w:rPr>
        <w:t>4.59</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67.99</w:t>
      </w:r>
      <w:r>
        <w:rPr>
          <w:rFonts w:hint="eastAsia" w:ascii="仿宋_GB2312" w:hAnsi="仿宋_GB2312" w:eastAsia="仿宋_GB2312" w:cs="仿宋_GB2312"/>
          <w:kern w:val="2"/>
          <w:sz w:val="32"/>
          <w:szCs w:val="32"/>
          <w:highlight w:val="none"/>
          <w:lang w:val="en-US" w:eastAsia="en-US" w:bidi="ar-SA"/>
        </w:rPr>
        <w:t>%。决算数与年初预算数的差异原因：实际支出。</w:t>
      </w:r>
    </w:p>
    <w:p w14:paraId="46626838">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2</w:t>
      </w:r>
      <w:r>
        <w:rPr>
          <w:rFonts w:hint="eastAsia" w:ascii="仿宋_GB2312" w:hAnsi="仿宋_GB2312" w:eastAsia="仿宋_GB2312" w:cs="仿宋_GB2312"/>
          <w:kern w:val="2"/>
          <w:sz w:val="32"/>
          <w:szCs w:val="32"/>
          <w:highlight w:val="none"/>
          <w:lang w:val="en-US" w:eastAsia="zh-CN" w:bidi="ar-SA"/>
        </w:rPr>
        <w:t>1.中医药事务</w:t>
      </w:r>
      <w:r>
        <w:rPr>
          <w:rFonts w:hint="eastAsia" w:ascii="仿宋_GB2312" w:hAnsi="仿宋_GB2312" w:eastAsia="仿宋_GB2312" w:cs="仿宋_GB2312"/>
          <w:kern w:val="2"/>
          <w:sz w:val="32"/>
          <w:szCs w:val="32"/>
          <w:highlight w:val="none"/>
          <w:lang w:val="en-US" w:eastAsia="en-US" w:bidi="ar-SA"/>
        </w:rPr>
        <w:t>（款</w:t>
      </w:r>
      <w:r>
        <w:rPr>
          <w:rFonts w:hint="eastAsia" w:ascii="仿宋_GB2312" w:hAnsi="仿宋_GB2312" w:eastAsia="仿宋_GB2312" w:cs="仿宋_GB2312"/>
          <w:kern w:val="2"/>
          <w:sz w:val="32"/>
          <w:szCs w:val="32"/>
          <w:highlight w:val="none"/>
          <w:lang w:val="en-US" w:eastAsia="zh-CN" w:bidi="ar-SA"/>
        </w:rPr>
        <w:t>）中医（民族药）专项</w:t>
      </w:r>
      <w:r>
        <w:rPr>
          <w:rFonts w:hint="eastAsia" w:ascii="仿宋_GB2312" w:hAnsi="仿宋_GB2312" w:eastAsia="仿宋_GB2312" w:cs="仿宋_GB2312"/>
          <w:kern w:val="2"/>
          <w:sz w:val="32"/>
          <w:szCs w:val="32"/>
          <w:highlight w:val="none"/>
          <w:lang w:val="en-US" w:eastAsia="en-US" w:bidi="ar-SA"/>
        </w:rPr>
        <w:t>（项）。年初预算</w:t>
      </w:r>
      <w:r>
        <w:rPr>
          <w:rFonts w:hint="eastAsia" w:ascii="仿宋_GB2312" w:hAnsi="仿宋_GB2312" w:eastAsia="仿宋_GB2312" w:cs="仿宋_GB2312"/>
          <w:kern w:val="2"/>
          <w:sz w:val="32"/>
          <w:szCs w:val="32"/>
          <w:highlight w:val="none"/>
          <w:lang w:val="en-US" w:eastAsia="zh-CN" w:bidi="ar-SA"/>
        </w:rPr>
        <w:t>411</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121.29</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29.51</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实际支出</w:t>
      </w:r>
      <w:r>
        <w:rPr>
          <w:rFonts w:hint="eastAsia" w:ascii="仿宋_GB2312" w:hAnsi="仿宋_GB2312" w:eastAsia="仿宋_GB2312" w:cs="仿宋_GB2312"/>
          <w:kern w:val="2"/>
          <w:sz w:val="32"/>
          <w:szCs w:val="32"/>
          <w:highlight w:val="none"/>
          <w:lang w:val="en-US" w:eastAsia="en-US" w:bidi="ar-SA"/>
        </w:rPr>
        <w:t>。</w:t>
      </w:r>
    </w:p>
    <w:p w14:paraId="2DAA409B">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22.疾病预防控制事务（款）其他疾病预防控制事务支出（项）</w:t>
      </w:r>
      <w:r>
        <w:rPr>
          <w:rFonts w:hint="eastAsia" w:ascii="仿宋_GB2312" w:hAnsi="仿宋_GB2312" w:eastAsia="仿宋_GB2312" w:cs="仿宋_GB2312"/>
          <w:kern w:val="2"/>
          <w:sz w:val="32"/>
          <w:szCs w:val="32"/>
          <w:highlight w:val="none"/>
          <w:lang w:val="en-US" w:eastAsia="en-US" w:bidi="ar-SA"/>
        </w:rPr>
        <w:t>年初预算</w:t>
      </w:r>
      <w:r>
        <w:rPr>
          <w:rFonts w:hint="eastAsia" w:ascii="仿宋_GB2312" w:hAnsi="仿宋_GB2312" w:eastAsia="仿宋_GB2312" w:cs="仿宋_GB2312"/>
          <w:kern w:val="2"/>
          <w:sz w:val="32"/>
          <w:szCs w:val="32"/>
          <w:highlight w:val="none"/>
          <w:lang w:val="en-US" w:eastAsia="zh-CN" w:bidi="ar-SA"/>
        </w:rPr>
        <w:t>45</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194.91</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433.13</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实际支出</w:t>
      </w:r>
      <w:r>
        <w:rPr>
          <w:rFonts w:hint="eastAsia" w:ascii="仿宋_GB2312" w:hAnsi="仿宋_GB2312" w:eastAsia="仿宋_GB2312" w:cs="仿宋_GB2312"/>
          <w:kern w:val="2"/>
          <w:sz w:val="32"/>
          <w:szCs w:val="32"/>
          <w:highlight w:val="none"/>
          <w:lang w:val="en-US" w:eastAsia="en-US" w:bidi="ar-SA"/>
        </w:rPr>
        <w:t>。</w:t>
      </w:r>
    </w:p>
    <w:p w14:paraId="6CA9BFDB">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2</w:t>
      </w:r>
      <w:r>
        <w:rPr>
          <w:rFonts w:hint="eastAsia" w:ascii="仿宋_GB2312" w:hAnsi="仿宋_GB2312" w:eastAsia="仿宋_GB2312" w:cs="仿宋_GB2312"/>
          <w:kern w:val="2"/>
          <w:sz w:val="32"/>
          <w:szCs w:val="32"/>
          <w:highlight w:val="none"/>
          <w:lang w:val="en-US" w:eastAsia="zh-CN" w:bidi="ar-SA"/>
        </w:rPr>
        <w:t>3</w:t>
      </w:r>
      <w:r>
        <w:rPr>
          <w:rFonts w:hint="eastAsia" w:ascii="仿宋_GB2312" w:hAnsi="仿宋_GB2312" w:eastAsia="仿宋_GB2312" w:cs="仿宋_GB2312"/>
          <w:kern w:val="2"/>
          <w:sz w:val="32"/>
          <w:szCs w:val="32"/>
          <w:highlight w:val="none"/>
          <w:lang w:val="en-US" w:eastAsia="en-US" w:bidi="ar-SA"/>
        </w:rPr>
        <w:t>.</w:t>
      </w:r>
      <w:r>
        <w:rPr>
          <w:rFonts w:hint="eastAsia" w:ascii="仿宋_GB2312" w:hAnsi="仿宋_GB2312" w:eastAsia="仿宋_GB2312" w:cs="仿宋_GB2312"/>
          <w:kern w:val="2"/>
          <w:sz w:val="32"/>
          <w:szCs w:val="32"/>
          <w:highlight w:val="none"/>
          <w:lang w:val="en-US" w:eastAsia="zh-CN" w:bidi="ar-SA"/>
        </w:rPr>
        <w:t>其他卫生健康支出</w:t>
      </w:r>
      <w:r>
        <w:rPr>
          <w:rFonts w:hint="eastAsia" w:ascii="仿宋_GB2312" w:hAnsi="仿宋_GB2312" w:eastAsia="仿宋_GB2312" w:cs="仿宋_GB2312"/>
          <w:kern w:val="2"/>
          <w:sz w:val="32"/>
          <w:szCs w:val="32"/>
          <w:highlight w:val="none"/>
          <w:lang w:val="en-US" w:eastAsia="en-US" w:bidi="ar-SA"/>
        </w:rPr>
        <w:t>（款）</w:t>
      </w:r>
      <w:r>
        <w:rPr>
          <w:rFonts w:hint="eastAsia" w:ascii="仿宋_GB2312" w:hAnsi="仿宋_GB2312" w:eastAsia="仿宋_GB2312" w:cs="仿宋_GB2312"/>
          <w:kern w:val="2"/>
          <w:sz w:val="32"/>
          <w:szCs w:val="32"/>
          <w:highlight w:val="none"/>
          <w:lang w:val="en-US" w:eastAsia="zh-CN" w:bidi="ar-SA"/>
        </w:rPr>
        <w:t>其他卫生健康支出</w:t>
      </w:r>
      <w:r>
        <w:rPr>
          <w:rFonts w:hint="eastAsia" w:ascii="仿宋_GB2312" w:hAnsi="仿宋_GB2312" w:eastAsia="仿宋_GB2312" w:cs="仿宋_GB2312"/>
          <w:kern w:val="2"/>
          <w:sz w:val="32"/>
          <w:szCs w:val="32"/>
          <w:highlight w:val="none"/>
          <w:lang w:val="en-US" w:eastAsia="en-US" w:bidi="ar-SA"/>
        </w:rPr>
        <w:t>（项）。年初预算</w:t>
      </w:r>
      <w:r>
        <w:rPr>
          <w:rFonts w:hint="eastAsia" w:ascii="仿宋_GB2312" w:hAnsi="仿宋_GB2312" w:eastAsia="仿宋_GB2312" w:cs="仿宋_GB2312"/>
          <w:kern w:val="2"/>
          <w:sz w:val="32"/>
          <w:szCs w:val="32"/>
          <w:highlight w:val="none"/>
          <w:lang w:val="en-US" w:eastAsia="zh-CN" w:bidi="ar-SA"/>
        </w:rPr>
        <w:t>25</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25</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100</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 xml:space="preserve">无差异   </w:t>
      </w:r>
    </w:p>
    <w:p w14:paraId="6506F75D">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（五）住房保障支出（类）</w:t>
      </w:r>
    </w:p>
    <w:p w14:paraId="7665DF65">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住房保障支出（类）决算数为 1257.45万元，与年初预算相比减少19.45万元。其中：</w:t>
      </w:r>
    </w:p>
    <w:p w14:paraId="440869A3">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1．住房改革支出（款）住房公积金（项）。年初预算</w:t>
      </w:r>
      <w:r>
        <w:rPr>
          <w:rFonts w:hint="eastAsia" w:ascii="仿宋_GB2312" w:hAnsi="仿宋_GB2312" w:eastAsia="仿宋_GB2312" w:cs="仿宋_GB2312"/>
          <w:kern w:val="2"/>
          <w:sz w:val="32"/>
          <w:szCs w:val="32"/>
          <w:highlight w:val="none"/>
          <w:lang w:val="en-US" w:eastAsia="zh-CN" w:bidi="ar-SA"/>
        </w:rPr>
        <w:t>1271.07</w:t>
      </w:r>
      <w:r>
        <w:rPr>
          <w:rFonts w:hint="eastAsia" w:ascii="仿宋_GB2312" w:hAnsi="仿宋_GB2312" w:eastAsia="仿宋_GB2312" w:cs="仿宋_GB2312"/>
          <w:kern w:val="2"/>
          <w:sz w:val="32"/>
          <w:szCs w:val="32"/>
          <w:highlight w:val="none"/>
          <w:lang w:val="en-US" w:eastAsia="en-US" w:bidi="ar-SA"/>
        </w:rPr>
        <w:t>万元，支出决算</w:t>
      </w:r>
      <w:r>
        <w:rPr>
          <w:rFonts w:hint="eastAsia" w:ascii="仿宋_GB2312" w:hAnsi="仿宋_GB2312" w:eastAsia="仿宋_GB2312" w:cs="仿宋_GB2312"/>
          <w:kern w:val="2"/>
          <w:sz w:val="32"/>
          <w:szCs w:val="32"/>
          <w:highlight w:val="none"/>
          <w:lang w:val="en-US" w:eastAsia="zh-CN" w:bidi="ar-SA"/>
        </w:rPr>
        <w:t>1257.45</w:t>
      </w:r>
      <w:r>
        <w:rPr>
          <w:rFonts w:hint="eastAsia" w:ascii="仿宋_GB2312" w:hAnsi="仿宋_GB2312" w:eastAsia="仿宋_GB2312" w:cs="仿宋_GB2312"/>
          <w:kern w:val="2"/>
          <w:sz w:val="32"/>
          <w:szCs w:val="32"/>
          <w:highlight w:val="none"/>
          <w:lang w:val="en-US" w:eastAsia="en-US" w:bidi="ar-SA"/>
        </w:rPr>
        <w:t>万元，完成年初预算的</w:t>
      </w:r>
      <w:r>
        <w:rPr>
          <w:rFonts w:hint="eastAsia" w:ascii="仿宋_GB2312" w:hAnsi="仿宋_GB2312" w:eastAsia="仿宋_GB2312" w:cs="仿宋_GB2312"/>
          <w:kern w:val="2"/>
          <w:sz w:val="32"/>
          <w:szCs w:val="32"/>
          <w:highlight w:val="none"/>
          <w:lang w:val="en-US" w:eastAsia="zh-CN" w:bidi="ar-SA"/>
        </w:rPr>
        <w:t>98.93</w:t>
      </w:r>
      <w:r>
        <w:rPr>
          <w:rFonts w:hint="eastAsia" w:ascii="仿宋_GB2312" w:hAnsi="仿宋_GB2312" w:eastAsia="仿宋_GB2312" w:cs="仿宋_GB2312"/>
          <w:kern w:val="2"/>
          <w:sz w:val="32"/>
          <w:szCs w:val="32"/>
          <w:highlight w:val="none"/>
          <w:lang w:val="en-US" w:eastAsia="en-US" w:bidi="ar-SA"/>
        </w:rPr>
        <w:t>%。决算数与年初预算数的差异原因：</w:t>
      </w:r>
      <w:r>
        <w:rPr>
          <w:rFonts w:hint="eastAsia" w:ascii="仿宋_GB2312" w:hAnsi="仿宋_GB2312" w:eastAsia="仿宋_GB2312" w:cs="仿宋_GB2312"/>
          <w:kern w:val="2"/>
          <w:sz w:val="32"/>
          <w:szCs w:val="32"/>
          <w:highlight w:val="none"/>
          <w:lang w:val="en-US" w:eastAsia="zh-CN" w:bidi="ar-SA"/>
        </w:rPr>
        <w:t>实际支出</w:t>
      </w:r>
      <w:r>
        <w:rPr>
          <w:rFonts w:hint="eastAsia" w:ascii="仿宋_GB2312" w:hAnsi="仿宋_GB2312" w:eastAsia="仿宋_GB2312" w:cs="仿宋_GB2312"/>
          <w:kern w:val="2"/>
          <w:sz w:val="32"/>
          <w:szCs w:val="32"/>
          <w:highlight w:val="none"/>
          <w:lang w:val="en-US" w:eastAsia="en-US" w:bidi="ar-SA"/>
        </w:rPr>
        <w:t>。</w:t>
      </w:r>
    </w:p>
    <w:p w14:paraId="4D923A20">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六、一般公共预算财政拨款基本支出决算情况说明</w:t>
      </w:r>
    </w:p>
    <w:p w14:paraId="64A8ECAD">
      <w:pPr>
        <w:pStyle w:val="3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巴彦淖尔市卫生健康委员会部门 2025年度一般公共预算财政拨款基本支出决算 17749.78万元，其中：</w:t>
      </w:r>
    </w:p>
    <w:p w14:paraId="1D89B7A9">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en-US" w:bidi="ar-SA"/>
        </w:rPr>
      </w:pPr>
      <w:r>
        <w:rPr>
          <w:rFonts w:hint="eastAsia" w:ascii="方正楷体_GB2312" w:hAnsi="方正楷体_GB2312" w:eastAsia="方正楷体_GB2312" w:cs="方正楷体_GB2312"/>
          <w:b w:val="0"/>
          <w:bCs w:val="0"/>
          <w:kern w:val="0"/>
          <w:sz w:val="32"/>
          <w:szCs w:val="32"/>
          <w:u w:val="none" w:color="auto"/>
        </w:rPr>
        <w:t>（一）人员经费</w:t>
      </w:r>
      <w:r>
        <w:rPr>
          <w:rFonts w:hint="eastAsia" w:ascii="方正楷体_GB2312" w:hAnsi="方正楷体_GB2312" w:eastAsia="方正楷体_GB2312" w:cs="方正楷体_GB2312"/>
          <w:b w:val="0"/>
          <w:bCs w:val="0"/>
          <w:kern w:val="0"/>
          <w:sz w:val="32"/>
          <w:szCs w:val="32"/>
          <w:u w:val="none" w:color="auto"/>
          <w:lang w:eastAsia="en-US"/>
        </w:rPr>
        <w:t xml:space="preserve"> 17351.91</w:t>
      </w:r>
      <w:r>
        <w:rPr>
          <w:rFonts w:hint="eastAsia" w:ascii="方正楷体_GB2312" w:hAnsi="方正楷体_GB2312" w:eastAsia="方正楷体_GB2312" w:cs="方正楷体_GB2312"/>
          <w:b w:val="0"/>
          <w:bCs w:val="0"/>
          <w:kern w:val="0"/>
          <w:sz w:val="32"/>
          <w:szCs w:val="32"/>
          <w:u w:val="none" w:color="auto"/>
        </w:rPr>
        <w:t>万元。</w:t>
      </w:r>
      <w:r>
        <w:rPr>
          <w:rFonts w:hint="eastAsia" w:ascii="仿宋_GB2312" w:hAnsi="仿宋_GB2312" w:eastAsia="仿宋_GB2312" w:cs="仿宋_GB2312"/>
          <w:kern w:val="2"/>
          <w:sz w:val="32"/>
          <w:szCs w:val="32"/>
          <w:highlight w:val="none"/>
          <w:lang w:val="en-US" w:eastAsia="en-US" w:bidi="ar-SA"/>
        </w:rPr>
        <w:t>主要包括：基本工资</w:t>
      </w:r>
      <w:r>
        <w:rPr>
          <w:rFonts w:hint="eastAsia" w:ascii="仿宋_GB2312" w:hAnsi="仿宋_GB2312" w:eastAsia="仿宋_GB2312" w:cs="仿宋_GB2312"/>
          <w:kern w:val="2"/>
          <w:sz w:val="32"/>
          <w:szCs w:val="32"/>
          <w:highlight w:val="none"/>
          <w:lang w:val="en-US" w:eastAsia="zh-CN" w:bidi="ar-SA"/>
        </w:rPr>
        <w:t>7385.6万元</w:t>
      </w:r>
      <w:r>
        <w:rPr>
          <w:rFonts w:hint="eastAsia" w:ascii="仿宋_GB2312" w:hAnsi="仿宋_GB2312" w:eastAsia="仿宋_GB2312" w:cs="仿宋_GB2312"/>
          <w:kern w:val="2"/>
          <w:sz w:val="32"/>
          <w:szCs w:val="32"/>
          <w:highlight w:val="none"/>
          <w:lang w:val="en-US" w:eastAsia="en-US" w:bidi="ar-SA"/>
        </w:rPr>
        <w:t>、津贴补贴</w:t>
      </w:r>
      <w:r>
        <w:rPr>
          <w:rFonts w:hint="eastAsia" w:ascii="仿宋_GB2312" w:hAnsi="仿宋_GB2312" w:eastAsia="仿宋_GB2312" w:cs="仿宋_GB2312"/>
          <w:kern w:val="2"/>
          <w:sz w:val="32"/>
          <w:szCs w:val="32"/>
          <w:highlight w:val="none"/>
          <w:lang w:val="en-US" w:eastAsia="zh-CN" w:bidi="ar-SA"/>
        </w:rPr>
        <w:t>2069.22元</w:t>
      </w:r>
      <w:r>
        <w:rPr>
          <w:rFonts w:hint="eastAsia" w:ascii="仿宋_GB2312" w:hAnsi="仿宋_GB2312" w:eastAsia="仿宋_GB2312" w:cs="仿宋_GB2312"/>
          <w:kern w:val="2"/>
          <w:sz w:val="32"/>
          <w:szCs w:val="32"/>
          <w:highlight w:val="none"/>
          <w:lang w:val="en-US" w:eastAsia="en-US" w:bidi="ar-SA"/>
        </w:rPr>
        <w:t>、奖金</w:t>
      </w:r>
      <w:r>
        <w:rPr>
          <w:rFonts w:hint="eastAsia" w:ascii="仿宋_GB2312" w:hAnsi="仿宋_GB2312" w:eastAsia="仿宋_GB2312" w:cs="仿宋_GB2312"/>
          <w:kern w:val="2"/>
          <w:sz w:val="32"/>
          <w:szCs w:val="32"/>
          <w:highlight w:val="none"/>
          <w:lang w:val="en-US" w:eastAsia="zh-CN" w:bidi="ar-SA"/>
        </w:rPr>
        <w:t>8.24万元</w:t>
      </w:r>
      <w:r>
        <w:rPr>
          <w:rFonts w:hint="eastAsia" w:ascii="仿宋_GB2312" w:hAnsi="仿宋_GB2312" w:eastAsia="仿宋_GB2312" w:cs="仿宋_GB2312"/>
          <w:kern w:val="2"/>
          <w:sz w:val="32"/>
          <w:szCs w:val="32"/>
          <w:highlight w:val="none"/>
          <w:lang w:val="en-US" w:eastAsia="en-US" w:bidi="ar-SA"/>
        </w:rPr>
        <w:t>、绩效工资</w:t>
      </w:r>
      <w:r>
        <w:rPr>
          <w:rFonts w:hint="eastAsia" w:ascii="仿宋_GB2312" w:hAnsi="仿宋_GB2312" w:eastAsia="仿宋_GB2312" w:cs="仿宋_GB2312"/>
          <w:kern w:val="2"/>
          <w:sz w:val="32"/>
          <w:szCs w:val="32"/>
          <w:highlight w:val="none"/>
          <w:lang w:val="en-US" w:eastAsia="zh-CN" w:bidi="ar-SA"/>
        </w:rPr>
        <w:t>1554.56万元</w:t>
      </w:r>
      <w:r>
        <w:rPr>
          <w:rFonts w:hint="eastAsia" w:ascii="仿宋_GB2312" w:hAnsi="仿宋_GB2312" w:eastAsia="仿宋_GB2312" w:cs="仿宋_GB2312"/>
          <w:kern w:val="2"/>
          <w:sz w:val="32"/>
          <w:szCs w:val="32"/>
          <w:highlight w:val="none"/>
          <w:lang w:val="en-US" w:eastAsia="en-US" w:bidi="ar-SA"/>
        </w:rPr>
        <w:t>、机关事业单位基本养老保险缴费</w:t>
      </w:r>
      <w:r>
        <w:rPr>
          <w:rFonts w:hint="eastAsia" w:ascii="仿宋_GB2312" w:hAnsi="仿宋_GB2312" w:eastAsia="仿宋_GB2312" w:cs="仿宋_GB2312"/>
          <w:kern w:val="2"/>
          <w:sz w:val="32"/>
          <w:szCs w:val="32"/>
          <w:highlight w:val="none"/>
          <w:lang w:val="en-US" w:eastAsia="zh-CN" w:bidi="ar-SA"/>
        </w:rPr>
        <w:t>1338.61万元</w:t>
      </w:r>
      <w:r>
        <w:rPr>
          <w:rFonts w:hint="eastAsia" w:ascii="仿宋_GB2312" w:hAnsi="仿宋_GB2312" w:eastAsia="仿宋_GB2312" w:cs="仿宋_GB2312"/>
          <w:kern w:val="2"/>
          <w:sz w:val="32"/>
          <w:szCs w:val="32"/>
          <w:highlight w:val="none"/>
          <w:lang w:val="en-US" w:eastAsia="en-US" w:bidi="ar-SA"/>
        </w:rPr>
        <w:t>、职业年金缴费</w:t>
      </w:r>
      <w:r>
        <w:rPr>
          <w:rFonts w:hint="eastAsia" w:ascii="仿宋_GB2312" w:hAnsi="仿宋_GB2312" w:eastAsia="仿宋_GB2312" w:cs="仿宋_GB2312"/>
          <w:kern w:val="2"/>
          <w:sz w:val="32"/>
          <w:szCs w:val="32"/>
          <w:highlight w:val="none"/>
          <w:lang w:val="en-US" w:eastAsia="zh-CN" w:bidi="ar-SA"/>
        </w:rPr>
        <w:t>467.16万元</w:t>
      </w:r>
      <w:r>
        <w:rPr>
          <w:rFonts w:hint="eastAsia" w:ascii="仿宋_GB2312" w:hAnsi="仿宋_GB2312" w:eastAsia="仿宋_GB2312" w:cs="仿宋_GB2312"/>
          <w:kern w:val="2"/>
          <w:sz w:val="32"/>
          <w:szCs w:val="32"/>
          <w:highlight w:val="none"/>
          <w:lang w:val="en-US" w:eastAsia="en-US" w:bidi="ar-SA"/>
        </w:rPr>
        <w:t>、职工基本医疗保险缴费</w:t>
      </w:r>
      <w:r>
        <w:rPr>
          <w:rFonts w:hint="eastAsia" w:ascii="仿宋_GB2312" w:hAnsi="仿宋_GB2312" w:eastAsia="仿宋_GB2312" w:cs="仿宋_GB2312"/>
          <w:kern w:val="2"/>
          <w:sz w:val="32"/>
          <w:szCs w:val="32"/>
          <w:highlight w:val="none"/>
          <w:lang w:val="en-US" w:eastAsia="zh-CN" w:bidi="ar-SA"/>
        </w:rPr>
        <w:t>972.62万元</w:t>
      </w:r>
      <w:r>
        <w:rPr>
          <w:rFonts w:hint="eastAsia" w:ascii="仿宋_GB2312" w:hAnsi="仿宋_GB2312" w:eastAsia="仿宋_GB2312" w:cs="仿宋_GB2312"/>
          <w:kern w:val="2"/>
          <w:sz w:val="32"/>
          <w:szCs w:val="32"/>
          <w:highlight w:val="none"/>
          <w:lang w:val="en-US" w:eastAsia="en-US" w:bidi="ar-SA"/>
        </w:rPr>
        <w:t>、公务员医疗补助缴费</w:t>
      </w:r>
      <w:r>
        <w:rPr>
          <w:rFonts w:hint="eastAsia" w:ascii="仿宋_GB2312" w:hAnsi="仿宋_GB2312" w:eastAsia="仿宋_GB2312" w:cs="仿宋_GB2312"/>
          <w:kern w:val="2"/>
          <w:sz w:val="32"/>
          <w:szCs w:val="32"/>
          <w:highlight w:val="none"/>
          <w:lang w:val="en-US" w:eastAsia="zh-CN" w:bidi="ar-SA"/>
        </w:rPr>
        <w:t>334.49万元</w:t>
      </w:r>
      <w:r>
        <w:rPr>
          <w:rFonts w:hint="eastAsia" w:ascii="仿宋_GB2312" w:hAnsi="仿宋_GB2312" w:eastAsia="仿宋_GB2312" w:cs="仿宋_GB2312"/>
          <w:kern w:val="2"/>
          <w:sz w:val="32"/>
          <w:szCs w:val="32"/>
          <w:highlight w:val="none"/>
          <w:lang w:val="en-US" w:eastAsia="en-US" w:bidi="ar-SA"/>
        </w:rPr>
        <w:t>、住房公积金</w:t>
      </w:r>
      <w:r>
        <w:rPr>
          <w:rFonts w:hint="eastAsia" w:ascii="仿宋_GB2312" w:hAnsi="仿宋_GB2312" w:eastAsia="仿宋_GB2312" w:cs="仿宋_GB2312"/>
          <w:kern w:val="2"/>
          <w:sz w:val="32"/>
          <w:szCs w:val="32"/>
          <w:highlight w:val="none"/>
          <w:lang w:val="en-US" w:eastAsia="zh-CN" w:bidi="ar-SA"/>
        </w:rPr>
        <w:t>1257.45万元</w:t>
      </w:r>
      <w:r>
        <w:rPr>
          <w:rFonts w:hint="eastAsia" w:ascii="仿宋_GB2312" w:hAnsi="仿宋_GB2312" w:eastAsia="仿宋_GB2312" w:cs="仿宋_GB2312"/>
          <w:kern w:val="2"/>
          <w:sz w:val="32"/>
          <w:szCs w:val="32"/>
          <w:highlight w:val="none"/>
          <w:lang w:val="en-US" w:eastAsia="en-US" w:bidi="ar-SA"/>
        </w:rPr>
        <w:t>、其他工资福利支出</w:t>
      </w:r>
      <w:r>
        <w:rPr>
          <w:rFonts w:hint="eastAsia" w:ascii="仿宋_GB2312" w:hAnsi="仿宋_GB2312" w:eastAsia="仿宋_GB2312" w:cs="仿宋_GB2312"/>
          <w:kern w:val="2"/>
          <w:sz w:val="32"/>
          <w:szCs w:val="32"/>
          <w:highlight w:val="none"/>
          <w:lang w:val="en-US" w:eastAsia="zh-CN" w:bidi="ar-SA"/>
        </w:rPr>
        <w:t>367.07万元</w:t>
      </w:r>
      <w:r>
        <w:rPr>
          <w:rFonts w:hint="eastAsia" w:ascii="仿宋_GB2312" w:hAnsi="仿宋_GB2312" w:eastAsia="仿宋_GB2312" w:cs="仿宋_GB2312"/>
          <w:kern w:val="2"/>
          <w:sz w:val="32"/>
          <w:szCs w:val="32"/>
          <w:highlight w:val="none"/>
          <w:lang w:val="en-US" w:eastAsia="en-US" w:bidi="ar-SA"/>
        </w:rPr>
        <w:t>、离休费</w:t>
      </w:r>
      <w:r>
        <w:rPr>
          <w:rFonts w:hint="eastAsia" w:ascii="仿宋_GB2312" w:hAnsi="仿宋_GB2312" w:eastAsia="仿宋_GB2312" w:cs="仿宋_GB2312"/>
          <w:kern w:val="2"/>
          <w:sz w:val="32"/>
          <w:szCs w:val="32"/>
          <w:highlight w:val="none"/>
          <w:lang w:val="en-US" w:eastAsia="zh-CN" w:bidi="ar-SA"/>
        </w:rPr>
        <w:t>17.49万元</w:t>
      </w:r>
      <w:r>
        <w:rPr>
          <w:rFonts w:hint="eastAsia" w:ascii="仿宋_GB2312" w:hAnsi="仿宋_GB2312" w:eastAsia="仿宋_GB2312" w:cs="仿宋_GB2312"/>
          <w:kern w:val="2"/>
          <w:sz w:val="32"/>
          <w:szCs w:val="32"/>
          <w:highlight w:val="none"/>
          <w:lang w:val="en-US" w:eastAsia="en-US" w:bidi="ar-SA"/>
        </w:rPr>
        <w:t>、退休费</w:t>
      </w:r>
      <w:r>
        <w:rPr>
          <w:rFonts w:hint="eastAsia" w:ascii="仿宋_GB2312" w:hAnsi="仿宋_GB2312" w:eastAsia="仿宋_GB2312" w:cs="仿宋_GB2312"/>
          <w:kern w:val="2"/>
          <w:sz w:val="32"/>
          <w:szCs w:val="32"/>
          <w:highlight w:val="none"/>
          <w:lang w:val="en-US" w:eastAsia="zh-CN" w:bidi="ar-SA"/>
        </w:rPr>
        <w:t>1192.16万元</w:t>
      </w:r>
      <w:r>
        <w:rPr>
          <w:rFonts w:hint="eastAsia" w:ascii="仿宋_GB2312" w:hAnsi="仿宋_GB2312" w:eastAsia="仿宋_GB2312" w:cs="仿宋_GB2312"/>
          <w:kern w:val="2"/>
          <w:sz w:val="32"/>
          <w:szCs w:val="32"/>
          <w:highlight w:val="none"/>
          <w:lang w:val="en-US" w:eastAsia="en-US" w:bidi="ar-SA"/>
        </w:rPr>
        <w:t>、抚恤金</w:t>
      </w:r>
      <w:r>
        <w:rPr>
          <w:rFonts w:hint="eastAsia" w:ascii="仿宋_GB2312" w:hAnsi="仿宋_GB2312" w:eastAsia="仿宋_GB2312" w:cs="仿宋_GB2312"/>
          <w:kern w:val="2"/>
          <w:sz w:val="32"/>
          <w:szCs w:val="32"/>
          <w:highlight w:val="none"/>
          <w:lang w:val="en-US" w:eastAsia="zh-CN" w:bidi="ar-SA"/>
        </w:rPr>
        <w:t>295.92万元</w:t>
      </w:r>
      <w:r>
        <w:rPr>
          <w:rFonts w:hint="eastAsia" w:ascii="仿宋_GB2312" w:hAnsi="仿宋_GB2312" w:eastAsia="仿宋_GB2312" w:cs="仿宋_GB2312"/>
          <w:kern w:val="2"/>
          <w:sz w:val="32"/>
          <w:szCs w:val="32"/>
          <w:highlight w:val="none"/>
          <w:lang w:val="en-US" w:eastAsia="en-US" w:bidi="ar-SA"/>
        </w:rPr>
        <w:t>、生活补助</w:t>
      </w:r>
      <w:r>
        <w:rPr>
          <w:rFonts w:hint="eastAsia" w:ascii="仿宋_GB2312" w:hAnsi="仿宋_GB2312" w:eastAsia="仿宋_GB2312" w:cs="仿宋_GB2312"/>
          <w:kern w:val="2"/>
          <w:sz w:val="32"/>
          <w:szCs w:val="32"/>
          <w:highlight w:val="none"/>
          <w:lang w:val="en-US" w:eastAsia="zh-CN" w:bidi="ar-SA"/>
        </w:rPr>
        <w:t>29.57万元</w:t>
      </w:r>
      <w:r>
        <w:rPr>
          <w:rFonts w:hint="eastAsia" w:ascii="仿宋_GB2312" w:hAnsi="仿宋_GB2312" w:eastAsia="仿宋_GB2312" w:cs="仿宋_GB2312"/>
          <w:kern w:val="2"/>
          <w:sz w:val="32"/>
          <w:szCs w:val="32"/>
          <w:highlight w:val="none"/>
          <w:lang w:val="en-US" w:eastAsia="en-US" w:bidi="ar-SA"/>
        </w:rPr>
        <w:t>、医疗费补助</w:t>
      </w:r>
      <w:r>
        <w:rPr>
          <w:rFonts w:hint="eastAsia" w:ascii="仿宋_GB2312" w:hAnsi="仿宋_GB2312" w:eastAsia="仿宋_GB2312" w:cs="仿宋_GB2312"/>
          <w:kern w:val="2"/>
          <w:sz w:val="32"/>
          <w:szCs w:val="32"/>
          <w:highlight w:val="none"/>
          <w:lang w:val="en-US" w:eastAsia="zh-CN" w:bidi="ar-SA"/>
        </w:rPr>
        <w:t>0.98万元</w:t>
      </w:r>
      <w:r>
        <w:rPr>
          <w:rFonts w:hint="eastAsia" w:ascii="仿宋_GB2312" w:hAnsi="仿宋_GB2312" w:eastAsia="仿宋_GB2312" w:cs="仿宋_GB2312"/>
          <w:kern w:val="2"/>
          <w:sz w:val="32"/>
          <w:szCs w:val="32"/>
          <w:highlight w:val="none"/>
          <w:lang w:val="en-US" w:eastAsia="en-US" w:bidi="ar-SA"/>
        </w:rPr>
        <w:t>。</w:t>
      </w:r>
    </w:p>
    <w:p w14:paraId="15B87DAF">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方正楷体_GB2312" w:hAnsi="方正楷体_GB2312" w:eastAsia="方正楷体_GB2312" w:cs="方正楷体_GB2312"/>
          <w:b w:val="0"/>
          <w:bCs w:val="0"/>
          <w:kern w:val="0"/>
          <w:sz w:val="32"/>
          <w:szCs w:val="32"/>
          <w:u w:val="none" w:color="auto"/>
        </w:rPr>
        <w:t>（二）公用经费</w:t>
      </w:r>
      <w:r>
        <w:rPr>
          <w:rFonts w:hint="eastAsia" w:ascii="方正楷体_GB2312" w:hAnsi="方正楷体_GB2312" w:eastAsia="方正楷体_GB2312" w:cs="方正楷体_GB2312"/>
          <w:b w:val="0"/>
          <w:bCs w:val="0"/>
          <w:kern w:val="0"/>
          <w:sz w:val="32"/>
          <w:szCs w:val="32"/>
          <w:u w:val="none" w:color="auto"/>
          <w:lang w:eastAsia="en-US"/>
        </w:rPr>
        <w:t xml:space="preserve"> 397.88</w:t>
      </w:r>
      <w:r>
        <w:rPr>
          <w:rFonts w:hint="eastAsia" w:ascii="方正楷体_GB2312" w:hAnsi="方正楷体_GB2312" w:eastAsia="方正楷体_GB2312" w:cs="方正楷体_GB2312"/>
          <w:b w:val="0"/>
          <w:bCs w:val="0"/>
          <w:kern w:val="0"/>
          <w:sz w:val="32"/>
          <w:szCs w:val="32"/>
          <w:u w:val="none" w:color="auto"/>
        </w:rPr>
        <w:t>万元。</w:t>
      </w:r>
      <w:r>
        <w:rPr>
          <w:rFonts w:hint="eastAsia" w:ascii="仿宋_GB2312" w:hAnsi="仿宋_GB2312" w:eastAsia="仿宋_GB2312" w:cs="仿宋_GB2312"/>
          <w:kern w:val="2"/>
          <w:sz w:val="32"/>
          <w:szCs w:val="32"/>
          <w:highlight w:val="none"/>
          <w:lang w:val="en-US" w:eastAsia="en-US" w:bidi="ar-SA"/>
        </w:rPr>
        <w:t>主要包括：办公费</w:t>
      </w:r>
      <w:r>
        <w:rPr>
          <w:rFonts w:hint="eastAsia" w:ascii="仿宋_GB2312" w:hAnsi="仿宋_GB2312" w:eastAsia="仿宋_GB2312" w:cs="仿宋_GB2312"/>
          <w:kern w:val="2"/>
          <w:sz w:val="32"/>
          <w:szCs w:val="32"/>
          <w:highlight w:val="none"/>
          <w:lang w:val="en-US" w:eastAsia="zh-CN" w:bidi="ar-SA"/>
        </w:rPr>
        <w:t>33.97万元</w:t>
      </w:r>
      <w:r>
        <w:rPr>
          <w:rFonts w:hint="eastAsia" w:ascii="仿宋_GB2312" w:hAnsi="仿宋_GB2312" w:eastAsia="仿宋_GB2312" w:cs="仿宋_GB2312"/>
          <w:kern w:val="2"/>
          <w:sz w:val="32"/>
          <w:szCs w:val="32"/>
          <w:highlight w:val="none"/>
          <w:lang w:val="en-US" w:eastAsia="en-US" w:bidi="ar-SA"/>
        </w:rPr>
        <w:t>、印刷费</w:t>
      </w:r>
      <w:r>
        <w:rPr>
          <w:rFonts w:hint="eastAsia" w:ascii="仿宋_GB2312" w:hAnsi="仿宋_GB2312" w:eastAsia="仿宋_GB2312" w:cs="仿宋_GB2312"/>
          <w:kern w:val="2"/>
          <w:sz w:val="32"/>
          <w:szCs w:val="32"/>
          <w:highlight w:val="none"/>
          <w:lang w:val="en-US" w:eastAsia="zh-CN" w:bidi="ar-SA"/>
        </w:rPr>
        <w:t>3.4万元</w:t>
      </w:r>
      <w:r>
        <w:rPr>
          <w:rFonts w:hint="eastAsia" w:ascii="仿宋_GB2312" w:hAnsi="仿宋_GB2312" w:eastAsia="仿宋_GB2312" w:cs="仿宋_GB2312"/>
          <w:kern w:val="2"/>
          <w:sz w:val="32"/>
          <w:szCs w:val="32"/>
          <w:highlight w:val="none"/>
          <w:lang w:val="en-US" w:eastAsia="en-US" w:bidi="ar-SA"/>
        </w:rPr>
        <w:t>、手续费</w:t>
      </w:r>
      <w:r>
        <w:rPr>
          <w:rFonts w:hint="eastAsia" w:ascii="仿宋_GB2312" w:hAnsi="仿宋_GB2312" w:eastAsia="仿宋_GB2312" w:cs="仿宋_GB2312"/>
          <w:kern w:val="2"/>
          <w:sz w:val="32"/>
          <w:szCs w:val="32"/>
          <w:highlight w:val="none"/>
          <w:lang w:val="en-US" w:eastAsia="zh-CN" w:bidi="ar-SA"/>
        </w:rPr>
        <w:t>0.03万元</w:t>
      </w:r>
      <w:r>
        <w:rPr>
          <w:rFonts w:hint="eastAsia" w:ascii="仿宋_GB2312" w:hAnsi="仿宋_GB2312" w:eastAsia="仿宋_GB2312" w:cs="仿宋_GB2312"/>
          <w:kern w:val="2"/>
          <w:sz w:val="32"/>
          <w:szCs w:val="32"/>
          <w:highlight w:val="none"/>
          <w:lang w:val="en-US" w:eastAsia="en-US" w:bidi="ar-SA"/>
        </w:rPr>
        <w:t>、水费</w:t>
      </w:r>
      <w:r>
        <w:rPr>
          <w:rFonts w:hint="eastAsia" w:ascii="仿宋_GB2312" w:hAnsi="仿宋_GB2312" w:eastAsia="仿宋_GB2312" w:cs="仿宋_GB2312"/>
          <w:kern w:val="2"/>
          <w:sz w:val="32"/>
          <w:szCs w:val="32"/>
          <w:highlight w:val="none"/>
          <w:lang w:val="en-US" w:eastAsia="zh-CN" w:bidi="ar-SA"/>
        </w:rPr>
        <w:t>7.74万元</w:t>
      </w:r>
      <w:r>
        <w:rPr>
          <w:rFonts w:hint="eastAsia" w:ascii="仿宋_GB2312" w:hAnsi="仿宋_GB2312" w:eastAsia="仿宋_GB2312" w:cs="仿宋_GB2312"/>
          <w:kern w:val="2"/>
          <w:sz w:val="32"/>
          <w:szCs w:val="32"/>
          <w:highlight w:val="none"/>
          <w:lang w:val="en-US" w:eastAsia="en-US" w:bidi="ar-SA"/>
        </w:rPr>
        <w:t>、电费</w:t>
      </w:r>
      <w:r>
        <w:rPr>
          <w:rFonts w:hint="eastAsia" w:ascii="仿宋_GB2312" w:hAnsi="仿宋_GB2312" w:eastAsia="仿宋_GB2312" w:cs="仿宋_GB2312"/>
          <w:kern w:val="2"/>
          <w:sz w:val="32"/>
          <w:szCs w:val="32"/>
          <w:highlight w:val="none"/>
          <w:lang w:val="en-US" w:eastAsia="zh-CN" w:bidi="ar-SA"/>
        </w:rPr>
        <w:t>32.19万元</w:t>
      </w:r>
      <w:r>
        <w:rPr>
          <w:rFonts w:hint="eastAsia" w:ascii="仿宋_GB2312" w:hAnsi="仿宋_GB2312" w:eastAsia="仿宋_GB2312" w:cs="仿宋_GB2312"/>
          <w:kern w:val="2"/>
          <w:sz w:val="32"/>
          <w:szCs w:val="32"/>
          <w:highlight w:val="none"/>
          <w:lang w:val="en-US" w:eastAsia="en-US" w:bidi="ar-SA"/>
        </w:rPr>
        <w:t>、邮电费</w:t>
      </w:r>
      <w:r>
        <w:rPr>
          <w:rFonts w:hint="eastAsia" w:ascii="仿宋_GB2312" w:hAnsi="仿宋_GB2312" w:eastAsia="仿宋_GB2312" w:cs="仿宋_GB2312"/>
          <w:kern w:val="2"/>
          <w:sz w:val="32"/>
          <w:szCs w:val="32"/>
          <w:highlight w:val="none"/>
          <w:lang w:val="en-US" w:eastAsia="zh-CN" w:bidi="ar-SA"/>
        </w:rPr>
        <w:t>5.17万元</w:t>
      </w:r>
      <w:r>
        <w:rPr>
          <w:rFonts w:hint="eastAsia" w:ascii="仿宋_GB2312" w:hAnsi="仿宋_GB2312" w:eastAsia="仿宋_GB2312" w:cs="仿宋_GB2312"/>
          <w:kern w:val="2"/>
          <w:sz w:val="32"/>
          <w:szCs w:val="32"/>
          <w:highlight w:val="none"/>
          <w:lang w:val="en-US" w:eastAsia="en-US" w:bidi="ar-SA"/>
        </w:rPr>
        <w:t>、取暖费</w:t>
      </w:r>
      <w:r>
        <w:rPr>
          <w:rFonts w:hint="eastAsia" w:ascii="仿宋_GB2312" w:hAnsi="仿宋_GB2312" w:eastAsia="仿宋_GB2312" w:cs="仿宋_GB2312"/>
          <w:kern w:val="2"/>
          <w:sz w:val="32"/>
          <w:szCs w:val="32"/>
          <w:highlight w:val="none"/>
          <w:lang w:val="en-US" w:eastAsia="zh-CN" w:bidi="ar-SA"/>
        </w:rPr>
        <w:t>34.48万元</w:t>
      </w:r>
      <w:r>
        <w:rPr>
          <w:rFonts w:hint="eastAsia" w:ascii="仿宋_GB2312" w:hAnsi="仿宋_GB2312" w:eastAsia="仿宋_GB2312" w:cs="仿宋_GB2312"/>
          <w:kern w:val="2"/>
          <w:sz w:val="32"/>
          <w:szCs w:val="32"/>
          <w:highlight w:val="none"/>
          <w:lang w:val="en-US" w:eastAsia="en-US" w:bidi="ar-SA"/>
        </w:rPr>
        <w:t>、物业管理费</w:t>
      </w:r>
      <w:r>
        <w:rPr>
          <w:rFonts w:hint="eastAsia" w:ascii="仿宋_GB2312" w:hAnsi="仿宋_GB2312" w:eastAsia="仿宋_GB2312" w:cs="仿宋_GB2312"/>
          <w:kern w:val="2"/>
          <w:sz w:val="32"/>
          <w:szCs w:val="32"/>
          <w:highlight w:val="none"/>
          <w:lang w:val="en-US" w:eastAsia="zh-CN" w:bidi="ar-SA"/>
        </w:rPr>
        <w:t>62.63万元</w:t>
      </w:r>
      <w:r>
        <w:rPr>
          <w:rFonts w:hint="eastAsia" w:ascii="仿宋_GB2312" w:hAnsi="仿宋_GB2312" w:eastAsia="仿宋_GB2312" w:cs="仿宋_GB2312"/>
          <w:kern w:val="2"/>
          <w:sz w:val="32"/>
          <w:szCs w:val="32"/>
          <w:highlight w:val="none"/>
          <w:lang w:val="en-US" w:eastAsia="en-US" w:bidi="ar-SA"/>
        </w:rPr>
        <w:t>、差旅费</w:t>
      </w:r>
      <w:r>
        <w:rPr>
          <w:rFonts w:hint="eastAsia" w:ascii="仿宋_GB2312" w:hAnsi="仿宋_GB2312" w:eastAsia="仿宋_GB2312" w:cs="仿宋_GB2312"/>
          <w:kern w:val="2"/>
          <w:sz w:val="32"/>
          <w:szCs w:val="32"/>
          <w:highlight w:val="none"/>
          <w:lang w:val="en-US" w:eastAsia="zh-CN" w:bidi="ar-SA"/>
        </w:rPr>
        <w:t>5.78万元</w:t>
      </w:r>
      <w:r>
        <w:rPr>
          <w:rFonts w:hint="eastAsia" w:ascii="仿宋_GB2312" w:hAnsi="仿宋_GB2312" w:eastAsia="仿宋_GB2312" w:cs="仿宋_GB2312"/>
          <w:kern w:val="2"/>
          <w:sz w:val="32"/>
          <w:szCs w:val="32"/>
          <w:highlight w:val="none"/>
          <w:lang w:val="en-US" w:eastAsia="en-US" w:bidi="ar-SA"/>
        </w:rPr>
        <w:t>、维修（护）费</w:t>
      </w:r>
      <w:r>
        <w:rPr>
          <w:rFonts w:hint="eastAsia" w:ascii="仿宋_GB2312" w:hAnsi="仿宋_GB2312" w:eastAsia="仿宋_GB2312" w:cs="仿宋_GB2312"/>
          <w:kern w:val="2"/>
          <w:sz w:val="32"/>
          <w:szCs w:val="32"/>
          <w:highlight w:val="none"/>
          <w:lang w:val="en-US" w:eastAsia="zh-CN" w:bidi="ar-SA"/>
        </w:rPr>
        <w:t>14.78万元</w:t>
      </w:r>
      <w:r>
        <w:rPr>
          <w:rFonts w:hint="eastAsia" w:ascii="仿宋_GB2312" w:hAnsi="仿宋_GB2312" w:eastAsia="仿宋_GB2312" w:cs="仿宋_GB2312"/>
          <w:kern w:val="2"/>
          <w:sz w:val="32"/>
          <w:szCs w:val="32"/>
          <w:highlight w:val="none"/>
          <w:lang w:val="en-US" w:eastAsia="en-US" w:bidi="ar-SA"/>
        </w:rPr>
        <w:t>、培训费</w:t>
      </w:r>
      <w:r>
        <w:rPr>
          <w:rFonts w:hint="eastAsia" w:ascii="仿宋_GB2312" w:hAnsi="仿宋_GB2312" w:eastAsia="仿宋_GB2312" w:cs="仿宋_GB2312"/>
          <w:kern w:val="2"/>
          <w:sz w:val="32"/>
          <w:szCs w:val="32"/>
          <w:highlight w:val="none"/>
          <w:lang w:val="en-US" w:eastAsia="zh-CN" w:bidi="ar-SA"/>
        </w:rPr>
        <w:t>2.1万元</w:t>
      </w:r>
      <w:r>
        <w:rPr>
          <w:rFonts w:hint="eastAsia" w:ascii="仿宋_GB2312" w:hAnsi="仿宋_GB2312" w:eastAsia="仿宋_GB2312" w:cs="仿宋_GB2312"/>
          <w:kern w:val="2"/>
          <w:sz w:val="32"/>
          <w:szCs w:val="32"/>
          <w:highlight w:val="none"/>
          <w:lang w:val="en-US" w:eastAsia="en-US" w:bidi="ar-SA"/>
        </w:rPr>
        <w:t>、公务接待费</w:t>
      </w:r>
      <w:r>
        <w:rPr>
          <w:rFonts w:hint="eastAsia" w:ascii="仿宋_GB2312" w:hAnsi="仿宋_GB2312" w:eastAsia="仿宋_GB2312" w:cs="仿宋_GB2312"/>
          <w:kern w:val="2"/>
          <w:sz w:val="32"/>
          <w:szCs w:val="32"/>
          <w:highlight w:val="none"/>
          <w:lang w:val="en-US" w:eastAsia="zh-CN" w:bidi="ar-SA"/>
        </w:rPr>
        <w:t>1.54万元</w:t>
      </w:r>
      <w:r>
        <w:rPr>
          <w:rFonts w:hint="eastAsia" w:ascii="仿宋_GB2312" w:hAnsi="仿宋_GB2312" w:eastAsia="仿宋_GB2312" w:cs="仿宋_GB2312"/>
          <w:kern w:val="2"/>
          <w:sz w:val="32"/>
          <w:szCs w:val="32"/>
          <w:highlight w:val="none"/>
          <w:lang w:val="en-US" w:eastAsia="en-US" w:bidi="ar-SA"/>
        </w:rPr>
        <w:t>、劳务费</w:t>
      </w:r>
      <w:r>
        <w:rPr>
          <w:rFonts w:hint="eastAsia" w:ascii="仿宋_GB2312" w:hAnsi="仿宋_GB2312" w:eastAsia="仿宋_GB2312" w:cs="仿宋_GB2312"/>
          <w:kern w:val="2"/>
          <w:sz w:val="32"/>
          <w:szCs w:val="32"/>
          <w:highlight w:val="none"/>
          <w:lang w:val="en-US" w:eastAsia="zh-CN" w:bidi="ar-SA"/>
        </w:rPr>
        <w:t>1.04万元</w:t>
      </w:r>
      <w:r>
        <w:rPr>
          <w:rFonts w:hint="eastAsia" w:ascii="仿宋_GB2312" w:hAnsi="仿宋_GB2312" w:eastAsia="仿宋_GB2312" w:cs="仿宋_GB2312"/>
          <w:kern w:val="2"/>
          <w:sz w:val="32"/>
          <w:szCs w:val="32"/>
          <w:highlight w:val="none"/>
          <w:lang w:val="en-US" w:eastAsia="en-US" w:bidi="ar-SA"/>
        </w:rPr>
        <w:t>、委托业务费</w:t>
      </w:r>
      <w:r>
        <w:rPr>
          <w:rFonts w:hint="eastAsia" w:ascii="仿宋_GB2312" w:hAnsi="仿宋_GB2312" w:eastAsia="仿宋_GB2312" w:cs="仿宋_GB2312"/>
          <w:kern w:val="2"/>
          <w:sz w:val="32"/>
          <w:szCs w:val="32"/>
          <w:highlight w:val="none"/>
          <w:lang w:val="en-US" w:eastAsia="zh-CN" w:bidi="ar-SA"/>
        </w:rPr>
        <w:t>3.22万元</w:t>
      </w:r>
      <w:r>
        <w:rPr>
          <w:rFonts w:hint="eastAsia" w:ascii="仿宋_GB2312" w:hAnsi="仿宋_GB2312" w:eastAsia="仿宋_GB2312" w:cs="仿宋_GB2312"/>
          <w:kern w:val="2"/>
          <w:sz w:val="32"/>
          <w:szCs w:val="32"/>
          <w:highlight w:val="none"/>
          <w:lang w:val="en-US" w:eastAsia="en-US" w:bidi="ar-SA"/>
        </w:rPr>
        <w:t>、工会经费</w:t>
      </w:r>
      <w:r>
        <w:rPr>
          <w:rFonts w:hint="eastAsia" w:ascii="仿宋_GB2312" w:hAnsi="仿宋_GB2312" w:eastAsia="仿宋_GB2312" w:cs="仿宋_GB2312"/>
          <w:kern w:val="2"/>
          <w:sz w:val="32"/>
          <w:szCs w:val="32"/>
          <w:highlight w:val="none"/>
          <w:lang w:val="en-US" w:eastAsia="zh-CN" w:bidi="ar-SA"/>
        </w:rPr>
        <w:t>56.5万元</w:t>
      </w:r>
      <w:r>
        <w:rPr>
          <w:rFonts w:hint="eastAsia" w:ascii="仿宋_GB2312" w:hAnsi="仿宋_GB2312" w:eastAsia="仿宋_GB2312" w:cs="仿宋_GB2312"/>
          <w:kern w:val="2"/>
          <w:sz w:val="32"/>
          <w:szCs w:val="32"/>
          <w:highlight w:val="none"/>
          <w:lang w:val="en-US" w:eastAsia="en-US" w:bidi="ar-SA"/>
        </w:rPr>
        <w:t>、福利费</w:t>
      </w:r>
      <w:r>
        <w:rPr>
          <w:rFonts w:hint="eastAsia" w:ascii="仿宋_GB2312" w:hAnsi="仿宋_GB2312" w:eastAsia="仿宋_GB2312" w:cs="仿宋_GB2312"/>
          <w:kern w:val="2"/>
          <w:sz w:val="32"/>
          <w:szCs w:val="32"/>
          <w:highlight w:val="none"/>
          <w:lang w:val="en-US" w:eastAsia="zh-CN" w:bidi="ar-SA"/>
        </w:rPr>
        <w:t>25.62万元</w:t>
      </w:r>
      <w:r>
        <w:rPr>
          <w:rFonts w:hint="eastAsia" w:ascii="仿宋_GB2312" w:hAnsi="仿宋_GB2312" w:eastAsia="仿宋_GB2312" w:cs="仿宋_GB2312"/>
          <w:kern w:val="2"/>
          <w:sz w:val="32"/>
          <w:szCs w:val="32"/>
          <w:highlight w:val="none"/>
          <w:lang w:val="en-US" w:eastAsia="en-US" w:bidi="ar-SA"/>
        </w:rPr>
        <w:t>、公务用车运行维护费</w:t>
      </w:r>
      <w:r>
        <w:rPr>
          <w:rFonts w:hint="eastAsia" w:ascii="仿宋_GB2312" w:hAnsi="仿宋_GB2312" w:eastAsia="仿宋_GB2312" w:cs="仿宋_GB2312"/>
          <w:kern w:val="2"/>
          <w:sz w:val="32"/>
          <w:szCs w:val="32"/>
          <w:highlight w:val="none"/>
          <w:lang w:val="en-US" w:eastAsia="zh-CN" w:bidi="ar-SA"/>
        </w:rPr>
        <w:t>27.44</w:t>
      </w:r>
      <w:r>
        <w:rPr>
          <w:rFonts w:hint="eastAsia" w:ascii="仿宋_GB2312" w:hAnsi="仿宋_GB2312" w:eastAsia="仿宋_GB2312" w:cs="仿宋_GB2312"/>
          <w:kern w:val="2"/>
          <w:sz w:val="32"/>
          <w:szCs w:val="32"/>
          <w:highlight w:val="none"/>
          <w:lang w:val="en-US" w:eastAsia="en-US" w:bidi="ar-SA"/>
        </w:rPr>
        <w:t>、其他交通费用</w:t>
      </w:r>
      <w:r>
        <w:rPr>
          <w:rFonts w:hint="eastAsia" w:ascii="仿宋_GB2312" w:hAnsi="仿宋_GB2312" w:eastAsia="仿宋_GB2312" w:cs="仿宋_GB2312"/>
          <w:kern w:val="2"/>
          <w:sz w:val="32"/>
          <w:szCs w:val="32"/>
          <w:highlight w:val="none"/>
          <w:lang w:val="en-US" w:eastAsia="zh-CN" w:bidi="ar-SA"/>
        </w:rPr>
        <w:t>52.86万元</w:t>
      </w:r>
      <w:r>
        <w:rPr>
          <w:rFonts w:hint="eastAsia" w:ascii="仿宋_GB2312" w:hAnsi="仿宋_GB2312" w:eastAsia="仿宋_GB2312" w:cs="仿宋_GB2312"/>
          <w:kern w:val="2"/>
          <w:sz w:val="32"/>
          <w:szCs w:val="32"/>
          <w:highlight w:val="none"/>
          <w:lang w:val="en-US" w:eastAsia="en-US" w:bidi="ar-SA"/>
        </w:rPr>
        <w:t>、其他商品和服务支出</w:t>
      </w:r>
      <w:r>
        <w:rPr>
          <w:rFonts w:hint="eastAsia" w:ascii="仿宋_GB2312" w:hAnsi="仿宋_GB2312" w:eastAsia="仿宋_GB2312" w:cs="仿宋_GB2312"/>
          <w:kern w:val="2"/>
          <w:sz w:val="32"/>
          <w:szCs w:val="32"/>
          <w:highlight w:val="none"/>
          <w:lang w:val="en-US" w:eastAsia="zh-CN" w:bidi="ar-SA"/>
        </w:rPr>
        <w:t>20.03万元</w:t>
      </w:r>
      <w:r>
        <w:rPr>
          <w:rFonts w:hint="eastAsia" w:ascii="仿宋_GB2312" w:hAnsi="仿宋_GB2312" w:eastAsia="仿宋_GB2312" w:cs="仿宋_GB2312"/>
          <w:kern w:val="2"/>
          <w:sz w:val="32"/>
          <w:szCs w:val="32"/>
          <w:highlight w:val="none"/>
          <w:lang w:val="en-US" w:eastAsia="en-US" w:bidi="ar-SA"/>
        </w:rPr>
        <w:t>、办公设备购置</w:t>
      </w:r>
      <w:r>
        <w:rPr>
          <w:rFonts w:hint="eastAsia" w:ascii="仿宋_GB2312" w:hAnsi="仿宋_GB2312" w:eastAsia="仿宋_GB2312" w:cs="仿宋_GB2312"/>
          <w:kern w:val="2"/>
          <w:sz w:val="32"/>
          <w:szCs w:val="32"/>
          <w:highlight w:val="none"/>
          <w:lang w:val="en-US" w:eastAsia="zh-CN" w:bidi="ar-SA"/>
        </w:rPr>
        <w:t>6.24万元</w:t>
      </w:r>
      <w:r>
        <w:rPr>
          <w:rFonts w:hint="eastAsia" w:ascii="仿宋_GB2312" w:hAnsi="仿宋_GB2312" w:eastAsia="仿宋_GB2312" w:cs="仿宋_GB2312"/>
          <w:kern w:val="2"/>
          <w:sz w:val="32"/>
          <w:szCs w:val="32"/>
          <w:highlight w:val="none"/>
          <w:lang w:val="en-US" w:eastAsia="en-US" w:bidi="ar-SA"/>
        </w:rPr>
        <w:t>、</w:t>
      </w:r>
      <w:r>
        <w:rPr>
          <w:rFonts w:hint="eastAsia" w:ascii="仿宋_GB2312" w:hAnsi="仿宋_GB2312" w:eastAsia="仿宋_GB2312" w:cs="仿宋_GB2312"/>
          <w:kern w:val="2"/>
          <w:sz w:val="32"/>
          <w:szCs w:val="32"/>
          <w:highlight w:val="none"/>
          <w:lang w:val="en-US" w:eastAsia="zh-CN" w:bidi="ar-SA"/>
        </w:rPr>
        <w:t>公务用车购置1.02万元</w:t>
      </w:r>
      <w:r>
        <w:rPr>
          <w:rFonts w:hint="eastAsia" w:ascii="仿宋_GB2312" w:hAnsi="仿宋_GB2312" w:eastAsia="仿宋_GB2312" w:cs="仿宋_GB2312"/>
          <w:kern w:val="2"/>
          <w:sz w:val="32"/>
          <w:szCs w:val="32"/>
          <w:highlight w:val="none"/>
          <w:lang w:val="en-US" w:eastAsia="en-US" w:bidi="ar-SA"/>
        </w:rPr>
        <w:t>。</w:t>
      </w:r>
    </w:p>
    <w:p w14:paraId="4FC066C9">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七、一般公共预算财政拨款项目支出决算情况说明</w:t>
      </w:r>
    </w:p>
    <w:p w14:paraId="43B195A9">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巴彦淖尔市卫生健康委员会部门 </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年度一般公共预算财政拨款项目支出决算</w:t>
      </w:r>
      <w:r>
        <w:rPr>
          <w:rFonts w:hint="eastAsia" w:ascii="仿宋_GB2312" w:hAnsi="仿宋_GB2312" w:eastAsia="仿宋_GB2312" w:cs="仿宋_GB2312"/>
          <w:kern w:val="2"/>
          <w:sz w:val="32"/>
          <w:szCs w:val="32"/>
          <w:highlight w:val="none"/>
          <w:lang w:val="en-US" w:eastAsia="en-US" w:bidi="ar-SA"/>
        </w:rPr>
        <w:t xml:space="preserve"> 16651.27</w:t>
      </w:r>
      <w:r>
        <w:rPr>
          <w:rFonts w:hint="eastAsia" w:ascii="仿宋_GB2312" w:hAnsi="仿宋_GB2312" w:eastAsia="仿宋_GB2312" w:cs="仿宋_GB2312"/>
          <w:kern w:val="2"/>
          <w:sz w:val="32"/>
          <w:szCs w:val="32"/>
          <w:highlight w:val="none"/>
          <w:lang w:val="en-US" w:eastAsia="zh-CN" w:bidi="ar-SA"/>
        </w:rPr>
        <w:t>万元，其中：</w:t>
      </w:r>
    </w:p>
    <w:p w14:paraId="09D21DD0">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zh-CN" w:bidi="ar-SA"/>
        </w:rPr>
      </w:pPr>
      <w:r>
        <w:rPr>
          <w:rFonts w:hint="eastAsia" w:ascii="方正楷体_GB2312" w:hAnsi="方正楷体_GB2312" w:eastAsia="方正楷体_GB2312" w:cs="方正楷体_GB2312"/>
          <w:b w:val="0"/>
          <w:bCs w:val="0"/>
          <w:kern w:val="0"/>
          <w:sz w:val="32"/>
          <w:szCs w:val="32"/>
          <w:u w:val="none" w:color="auto"/>
          <w:lang w:val="en-US" w:eastAsia="zh-CN"/>
        </w:rPr>
        <w:t>（一）工资福利支出</w:t>
      </w:r>
      <w:r>
        <w:rPr>
          <w:rFonts w:hint="eastAsia" w:ascii="方正楷体_GB2312" w:hAnsi="方正楷体_GB2312" w:eastAsia="方正楷体_GB2312" w:cs="方正楷体_GB2312"/>
          <w:b w:val="0"/>
          <w:bCs w:val="0"/>
          <w:kern w:val="0"/>
          <w:sz w:val="32"/>
          <w:szCs w:val="32"/>
          <w:u w:val="none" w:color="auto"/>
          <w:lang w:val="en-US" w:eastAsia="en-US"/>
        </w:rPr>
        <w:t xml:space="preserve"> 835.76</w:t>
      </w:r>
      <w:r>
        <w:rPr>
          <w:rFonts w:hint="eastAsia" w:ascii="方正楷体_GB2312" w:hAnsi="方正楷体_GB2312" w:eastAsia="方正楷体_GB2312" w:cs="方正楷体_GB2312"/>
          <w:b w:val="0"/>
          <w:bCs w:val="0"/>
          <w:kern w:val="0"/>
          <w:sz w:val="32"/>
          <w:szCs w:val="32"/>
          <w:u w:val="none" w:color="auto"/>
          <w:lang w:val="en-US" w:eastAsia="zh-CN"/>
        </w:rPr>
        <w:t>万元。</w:t>
      </w:r>
      <w:r>
        <w:rPr>
          <w:rFonts w:hint="eastAsia" w:ascii="仿宋_GB2312" w:hAnsi="仿宋_GB2312" w:eastAsia="仿宋_GB2312" w:cs="仿宋_GB2312"/>
          <w:kern w:val="2"/>
          <w:sz w:val="32"/>
          <w:szCs w:val="32"/>
          <w:highlight w:val="none"/>
          <w:lang w:val="en-US" w:eastAsia="zh-CN" w:bidi="ar-SA"/>
        </w:rPr>
        <w:t>主要包括：绩效工资483.49万元、其他工资福利支出352.27万元。</w:t>
      </w:r>
    </w:p>
    <w:p w14:paraId="603CBFE2">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zh-CN" w:bidi="ar-SA"/>
        </w:rPr>
      </w:pPr>
      <w:r>
        <w:rPr>
          <w:rFonts w:hint="eastAsia" w:ascii="方正楷体_GB2312" w:hAnsi="方正楷体_GB2312" w:eastAsia="方正楷体_GB2312" w:cs="方正楷体_GB2312"/>
          <w:b w:val="0"/>
          <w:bCs w:val="0"/>
          <w:kern w:val="0"/>
          <w:sz w:val="32"/>
          <w:szCs w:val="32"/>
          <w:u w:val="none" w:color="auto"/>
          <w:lang w:val="en-US" w:eastAsia="zh-CN"/>
        </w:rPr>
        <w:t>（二）商品和服务支出</w:t>
      </w:r>
      <w:r>
        <w:rPr>
          <w:rFonts w:hint="eastAsia" w:ascii="方正楷体_GB2312" w:hAnsi="方正楷体_GB2312" w:eastAsia="方正楷体_GB2312" w:cs="方正楷体_GB2312"/>
          <w:b w:val="0"/>
          <w:bCs w:val="0"/>
          <w:kern w:val="0"/>
          <w:sz w:val="32"/>
          <w:szCs w:val="32"/>
          <w:u w:val="none" w:color="auto"/>
          <w:lang w:val="en-US" w:eastAsia="en-US"/>
        </w:rPr>
        <w:t xml:space="preserve"> 7970.01</w:t>
      </w:r>
      <w:r>
        <w:rPr>
          <w:rFonts w:hint="eastAsia" w:ascii="方正楷体_GB2312" w:hAnsi="方正楷体_GB2312" w:eastAsia="方正楷体_GB2312" w:cs="方正楷体_GB2312"/>
          <w:b w:val="0"/>
          <w:bCs w:val="0"/>
          <w:kern w:val="0"/>
          <w:sz w:val="32"/>
          <w:szCs w:val="32"/>
          <w:u w:val="none" w:color="auto"/>
          <w:lang w:val="en-US" w:eastAsia="zh-CN"/>
        </w:rPr>
        <w:t>万元。</w:t>
      </w:r>
      <w:r>
        <w:rPr>
          <w:rFonts w:hint="eastAsia" w:ascii="仿宋_GB2312" w:hAnsi="仿宋_GB2312" w:eastAsia="仿宋_GB2312" w:cs="仿宋_GB2312"/>
          <w:kern w:val="2"/>
          <w:sz w:val="32"/>
          <w:szCs w:val="32"/>
          <w:highlight w:val="none"/>
          <w:lang w:val="en-US" w:eastAsia="zh-CN" w:bidi="ar-SA"/>
        </w:rPr>
        <w:t>主要包括：办公费37.75万元、印刷费40.66万元、水费0.1万元、电费0.2万元、邮电费10.77万元、取暖费55.2万元、差旅费98.3万元、因公出国（境）费用1.72万元、维修（护）费163.94万元、租赁费4.65万元、会议费0.72万元、培训费1516.28万元、专用材料费3081.58万元、劳务费139.11万元、委托业务费2591.5万元、公务用车运行维护费5.53万元、其他交通费用15.77万元、其他商品和服务支出206.24万元。</w:t>
      </w:r>
    </w:p>
    <w:p w14:paraId="26D9976C">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zh-CN" w:bidi="ar-SA"/>
        </w:rPr>
      </w:pPr>
      <w:r>
        <w:rPr>
          <w:rFonts w:hint="eastAsia" w:ascii="方正楷体_GB2312" w:hAnsi="方正楷体_GB2312" w:eastAsia="方正楷体_GB2312" w:cs="方正楷体_GB2312"/>
          <w:b w:val="0"/>
          <w:bCs w:val="0"/>
          <w:kern w:val="0"/>
          <w:sz w:val="32"/>
          <w:szCs w:val="32"/>
          <w:u w:val="none" w:color="auto"/>
          <w:lang w:val="en-US" w:eastAsia="zh-CN"/>
        </w:rPr>
        <w:t>（三）对个人和家庭的补助67.59万元。</w:t>
      </w:r>
      <w:r>
        <w:rPr>
          <w:rFonts w:hint="eastAsia" w:ascii="仿宋_GB2312" w:hAnsi="仿宋_GB2312" w:eastAsia="仿宋_GB2312" w:cs="仿宋_GB2312"/>
          <w:kern w:val="2"/>
          <w:sz w:val="32"/>
          <w:szCs w:val="32"/>
          <w:highlight w:val="none"/>
          <w:lang w:val="en-US" w:eastAsia="zh-CN" w:bidi="ar-SA"/>
        </w:rPr>
        <w:t>主要包括：医疗费补助66.09万元、其他对个人和家庭的补助1.5万元。</w:t>
      </w:r>
    </w:p>
    <w:p w14:paraId="0B1F749C">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zh-CN" w:bidi="ar-SA"/>
        </w:rPr>
      </w:pPr>
      <w:r>
        <w:rPr>
          <w:rFonts w:hint="eastAsia" w:ascii="方正楷体_GB2312" w:hAnsi="方正楷体_GB2312" w:eastAsia="方正楷体_GB2312" w:cs="方正楷体_GB2312"/>
          <w:b w:val="0"/>
          <w:bCs w:val="0"/>
          <w:kern w:val="0"/>
          <w:sz w:val="32"/>
          <w:szCs w:val="32"/>
          <w:u w:val="none" w:color="auto"/>
          <w:lang w:val="en-US" w:eastAsia="zh-CN"/>
        </w:rPr>
        <w:t>（四）债务利息及费用支出5.97万元。</w:t>
      </w:r>
      <w:r>
        <w:rPr>
          <w:rFonts w:hint="eastAsia" w:ascii="仿宋_GB2312" w:hAnsi="仿宋_GB2312" w:eastAsia="仿宋_GB2312" w:cs="仿宋_GB2312"/>
          <w:kern w:val="2"/>
          <w:sz w:val="32"/>
          <w:szCs w:val="32"/>
          <w:highlight w:val="none"/>
          <w:lang w:val="en-US" w:eastAsia="zh-CN" w:bidi="ar-SA"/>
        </w:rPr>
        <w:t>其中包括：国外债务付息5.97万元。</w:t>
      </w:r>
    </w:p>
    <w:p w14:paraId="77AC1EF8">
      <w:pPr>
        <w:pStyle w:val="31"/>
        <w:keepNext w:val="0"/>
        <w:keepLines w:val="0"/>
        <w:pageBreakBefore w:val="0"/>
        <w:widowControl/>
        <w:kinsoku/>
        <w:wordWrap/>
        <w:overflowPunct/>
        <w:topLinePunct w:val="0"/>
        <w:autoSpaceDE/>
        <w:autoSpaceDN/>
        <w:bidi w:val="0"/>
        <w:spacing w:line="560" w:lineRule="exact"/>
        <w:ind w:firstLine="640"/>
        <w:jc w:val="both"/>
        <w:rPr>
          <w:rFonts w:hint="default" w:ascii="仿宋_GB2312" w:hAnsi="仿宋_GB2312" w:eastAsia="仿宋_GB2312" w:cs="仿宋_GB2312"/>
          <w:kern w:val="2"/>
          <w:sz w:val="32"/>
          <w:szCs w:val="32"/>
          <w:highlight w:val="none"/>
          <w:lang w:val="en-US" w:eastAsia="zh-CN" w:bidi="ar-SA"/>
        </w:rPr>
      </w:pPr>
      <w:r>
        <w:rPr>
          <w:rFonts w:hint="eastAsia" w:ascii="方正楷体_GB2312" w:hAnsi="方正楷体_GB2312" w:eastAsia="方正楷体_GB2312" w:cs="方正楷体_GB2312"/>
          <w:b w:val="0"/>
          <w:bCs w:val="0"/>
          <w:kern w:val="0"/>
          <w:sz w:val="32"/>
          <w:szCs w:val="32"/>
          <w:u w:val="none" w:color="auto"/>
          <w:lang w:val="en-US" w:eastAsia="zh-CN"/>
        </w:rPr>
        <w:t>（五）资本性支出</w:t>
      </w:r>
      <w:r>
        <w:rPr>
          <w:rFonts w:hint="eastAsia" w:ascii="方正楷体_GB2312" w:hAnsi="方正楷体_GB2312" w:eastAsia="方正楷体_GB2312" w:cs="方正楷体_GB2312"/>
          <w:b w:val="0"/>
          <w:bCs w:val="0"/>
          <w:kern w:val="0"/>
          <w:sz w:val="32"/>
          <w:szCs w:val="32"/>
          <w:u w:val="none" w:color="auto"/>
          <w:lang w:val="en-US" w:eastAsia="en-US"/>
        </w:rPr>
        <w:t xml:space="preserve"> </w:t>
      </w:r>
      <w:r>
        <w:rPr>
          <w:rFonts w:hint="eastAsia" w:ascii="方正楷体_GB2312" w:hAnsi="方正楷体_GB2312" w:eastAsia="方正楷体_GB2312" w:cs="方正楷体_GB2312"/>
          <w:b w:val="0"/>
          <w:bCs w:val="0"/>
          <w:kern w:val="0"/>
          <w:sz w:val="32"/>
          <w:szCs w:val="32"/>
          <w:u w:val="none" w:color="auto"/>
          <w:lang w:val="en-US" w:eastAsia="zh-CN"/>
        </w:rPr>
        <w:t>（基本建设）3730.16万元。</w:t>
      </w:r>
      <w:r>
        <w:rPr>
          <w:rFonts w:hint="eastAsia" w:ascii="仿宋_GB2312" w:hAnsi="仿宋_GB2312" w:eastAsia="仿宋_GB2312" w:cs="仿宋_GB2312"/>
          <w:kern w:val="2"/>
          <w:sz w:val="32"/>
          <w:szCs w:val="32"/>
          <w:highlight w:val="none"/>
          <w:lang w:val="en-US" w:eastAsia="zh-CN" w:bidi="ar-SA"/>
        </w:rPr>
        <w:t>主要包括：房屋建筑物构建3647.49万元、其他基本建设支出82.6万元。</w:t>
      </w:r>
    </w:p>
    <w:p w14:paraId="6EE6F4C8">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zh-CN" w:bidi="ar-SA"/>
        </w:rPr>
      </w:pPr>
      <w:r>
        <w:rPr>
          <w:rFonts w:hint="eastAsia" w:ascii="方正楷体_GB2312" w:hAnsi="方正楷体_GB2312" w:eastAsia="方正楷体_GB2312" w:cs="方正楷体_GB2312"/>
          <w:b w:val="0"/>
          <w:bCs w:val="0"/>
          <w:kern w:val="0"/>
          <w:sz w:val="32"/>
          <w:szCs w:val="32"/>
          <w:u w:val="none" w:color="auto"/>
          <w:lang w:val="en-US" w:eastAsia="zh-CN"/>
        </w:rPr>
        <w:t>（六）资本性支出</w:t>
      </w:r>
      <w:r>
        <w:rPr>
          <w:rFonts w:hint="eastAsia" w:ascii="方正楷体_GB2312" w:hAnsi="方正楷体_GB2312" w:eastAsia="方正楷体_GB2312" w:cs="方正楷体_GB2312"/>
          <w:b w:val="0"/>
          <w:bCs w:val="0"/>
          <w:kern w:val="0"/>
          <w:sz w:val="32"/>
          <w:szCs w:val="32"/>
          <w:u w:val="none" w:color="auto"/>
          <w:lang w:val="en-US" w:eastAsia="en-US"/>
        </w:rPr>
        <w:t xml:space="preserve"> 4041.78</w:t>
      </w:r>
      <w:r>
        <w:rPr>
          <w:rFonts w:hint="eastAsia" w:ascii="方正楷体_GB2312" w:hAnsi="方正楷体_GB2312" w:eastAsia="方正楷体_GB2312" w:cs="方正楷体_GB2312"/>
          <w:b w:val="0"/>
          <w:bCs w:val="0"/>
          <w:kern w:val="0"/>
          <w:sz w:val="32"/>
          <w:szCs w:val="32"/>
          <w:u w:val="none" w:color="auto"/>
          <w:lang w:val="en-US" w:eastAsia="zh-CN"/>
        </w:rPr>
        <w:t>万元。</w:t>
      </w:r>
      <w:r>
        <w:rPr>
          <w:rFonts w:hint="eastAsia" w:ascii="仿宋_GB2312" w:hAnsi="仿宋_GB2312" w:eastAsia="仿宋_GB2312" w:cs="仿宋_GB2312"/>
          <w:kern w:val="2"/>
          <w:sz w:val="32"/>
          <w:szCs w:val="32"/>
          <w:highlight w:val="none"/>
          <w:lang w:val="en-US" w:eastAsia="zh-CN" w:bidi="ar-SA"/>
        </w:rPr>
        <w:t>主要包括：房屋建筑物构建11.04万元、办公设备购置1043.11万元、专用设备购置2531.09万元、信息网络及软件购置更新438.85万元、公务用车购置17.69万元。</w:t>
      </w:r>
    </w:p>
    <w:p w14:paraId="329BC73A">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八、财政拨款</w:t>
      </w:r>
      <w:r>
        <w:rPr>
          <w:rFonts w:ascii="Times New Roman" w:hAnsi="Times New Roman" w:eastAsia="Times New Roman" w:cs="Times New Roman"/>
          <w:b/>
          <w:bCs/>
          <w:kern w:val="0"/>
          <w:sz w:val="32"/>
          <w:szCs w:val="32"/>
          <w:u w:val="none" w:color="auto"/>
          <w:lang w:eastAsia="en-US"/>
        </w:rPr>
        <w:t>“</w:t>
      </w:r>
      <w:r>
        <w:rPr>
          <w:rFonts w:ascii="黑体" w:hAnsi="黑体" w:eastAsia="黑体" w:cs="黑体"/>
          <w:b/>
          <w:bCs/>
          <w:kern w:val="0"/>
          <w:sz w:val="32"/>
          <w:szCs w:val="32"/>
          <w:u w:val="none" w:color="auto"/>
        </w:rPr>
        <w:t>三公</w:t>
      </w:r>
      <w:r>
        <w:rPr>
          <w:rFonts w:ascii="Times New Roman" w:hAnsi="Times New Roman" w:eastAsia="Times New Roman" w:cs="Times New Roman"/>
          <w:b/>
          <w:bCs/>
          <w:kern w:val="0"/>
          <w:sz w:val="32"/>
          <w:szCs w:val="32"/>
          <w:u w:val="none" w:color="auto"/>
          <w:lang w:eastAsia="en-US"/>
        </w:rPr>
        <w:t>”</w:t>
      </w:r>
      <w:r>
        <w:rPr>
          <w:rFonts w:ascii="黑体" w:hAnsi="黑体" w:eastAsia="黑体" w:cs="黑体"/>
          <w:b/>
          <w:bCs/>
          <w:kern w:val="0"/>
          <w:sz w:val="32"/>
          <w:szCs w:val="32"/>
          <w:u w:val="none" w:color="auto"/>
        </w:rPr>
        <w:t>经费支出决算情况说明</w:t>
      </w:r>
    </w:p>
    <w:p w14:paraId="73AD89B9">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方正楷体_GB2312" w:hAnsi="方正楷体_GB2312" w:eastAsia="方正楷体_GB2312" w:cs="方正楷体_GB2312"/>
          <w:b w:val="0"/>
          <w:bCs w:val="0"/>
          <w:kern w:val="0"/>
          <w:sz w:val="32"/>
          <w:szCs w:val="32"/>
          <w:u w:val="none" w:color="auto"/>
          <w:lang w:val="en-US" w:eastAsia="zh-CN"/>
        </w:rPr>
      </w:pPr>
      <w:r>
        <w:rPr>
          <w:rFonts w:hint="eastAsia" w:ascii="方正楷体_GB2312" w:hAnsi="方正楷体_GB2312" w:eastAsia="方正楷体_GB2312" w:cs="方正楷体_GB2312"/>
          <w:b w:val="0"/>
          <w:bCs w:val="0"/>
          <w:kern w:val="0"/>
          <w:sz w:val="32"/>
          <w:szCs w:val="32"/>
          <w:u w:val="none" w:color="auto"/>
          <w:lang w:val="en-US" w:eastAsia="zh-CN"/>
        </w:rPr>
        <w:t>（一）财政拨款</w:t>
      </w:r>
      <w:r>
        <w:rPr>
          <w:rFonts w:hint="eastAsia" w:ascii="方正楷体_GB2312" w:hAnsi="方正楷体_GB2312" w:eastAsia="方正楷体_GB2312" w:cs="方正楷体_GB2312"/>
          <w:b w:val="0"/>
          <w:bCs w:val="0"/>
          <w:kern w:val="0"/>
          <w:sz w:val="32"/>
          <w:szCs w:val="32"/>
          <w:u w:val="none" w:color="auto"/>
          <w:lang w:val="en-US" w:eastAsia="en-US"/>
        </w:rPr>
        <w:t>“</w:t>
      </w:r>
      <w:r>
        <w:rPr>
          <w:rFonts w:hint="eastAsia" w:ascii="方正楷体_GB2312" w:hAnsi="方正楷体_GB2312" w:eastAsia="方正楷体_GB2312" w:cs="方正楷体_GB2312"/>
          <w:b w:val="0"/>
          <w:bCs w:val="0"/>
          <w:kern w:val="0"/>
          <w:sz w:val="32"/>
          <w:szCs w:val="32"/>
          <w:u w:val="none" w:color="auto"/>
          <w:lang w:val="en-US" w:eastAsia="zh-CN"/>
        </w:rPr>
        <w:t>三公</w:t>
      </w:r>
      <w:r>
        <w:rPr>
          <w:rFonts w:hint="eastAsia" w:ascii="方正楷体_GB2312" w:hAnsi="方正楷体_GB2312" w:eastAsia="方正楷体_GB2312" w:cs="方正楷体_GB2312"/>
          <w:b w:val="0"/>
          <w:bCs w:val="0"/>
          <w:kern w:val="0"/>
          <w:sz w:val="32"/>
          <w:szCs w:val="32"/>
          <w:u w:val="none" w:color="auto"/>
          <w:lang w:val="en-US" w:eastAsia="en-US"/>
        </w:rPr>
        <w:t>”</w:t>
      </w:r>
      <w:r>
        <w:rPr>
          <w:rFonts w:hint="eastAsia" w:ascii="方正楷体_GB2312" w:hAnsi="方正楷体_GB2312" w:eastAsia="方正楷体_GB2312" w:cs="方正楷体_GB2312"/>
          <w:b w:val="0"/>
          <w:bCs w:val="0"/>
          <w:kern w:val="0"/>
          <w:sz w:val="32"/>
          <w:szCs w:val="32"/>
          <w:u w:val="none" w:color="auto"/>
          <w:lang w:val="en-US" w:eastAsia="zh-CN"/>
        </w:rPr>
        <w:t>经费支出总体情况说明。</w:t>
      </w:r>
    </w:p>
    <w:p w14:paraId="45CEAFEB">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巴彦淖尔市卫生健康委员会部门 </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年度财政拨款“三公”经费全年预算</w:t>
      </w:r>
      <w:r>
        <w:rPr>
          <w:rFonts w:hint="eastAsia" w:ascii="仿宋_GB2312" w:hAnsi="仿宋_GB2312" w:eastAsia="仿宋_GB2312" w:cs="仿宋_GB2312"/>
          <w:kern w:val="2"/>
          <w:sz w:val="32"/>
          <w:szCs w:val="32"/>
          <w:highlight w:val="none"/>
          <w:lang w:val="en-US" w:eastAsia="en-US" w:bidi="ar-SA"/>
        </w:rPr>
        <w:t xml:space="preserve"> 54.94</w:t>
      </w:r>
      <w:r>
        <w:rPr>
          <w:rFonts w:hint="eastAsia" w:ascii="仿宋_GB2312" w:hAnsi="仿宋_GB2312" w:eastAsia="仿宋_GB2312" w:cs="仿宋_GB2312"/>
          <w:kern w:val="2"/>
          <w:sz w:val="32"/>
          <w:szCs w:val="32"/>
          <w:highlight w:val="none"/>
          <w:lang w:val="en-US" w:eastAsia="zh-CN" w:bidi="ar-SA"/>
        </w:rPr>
        <w:t>万元，支出决算</w:t>
      </w:r>
      <w:r>
        <w:rPr>
          <w:rFonts w:hint="eastAsia" w:ascii="仿宋_GB2312" w:hAnsi="仿宋_GB2312" w:eastAsia="仿宋_GB2312" w:cs="仿宋_GB2312"/>
          <w:kern w:val="2"/>
          <w:sz w:val="32"/>
          <w:szCs w:val="32"/>
          <w:highlight w:val="none"/>
          <w:lang w:val="en-US" w:eastAsia="en-US" w:bidi="ar-SA"/>
        </w:rPr>
        <w:t xml:space="preserve"> 54.94</w:t>
      </w:r>
      <w:r>
        <w:rPr>
          <w:rFonts w:hint="eastAsia" w:ascii="仿宋_GB2312" w:hAnsi="仿宋_GB2312" w:eastAsia="仿宋_GB2312" w:cs="仿宋_GB2312"/>
          <w:kern w:val="2"/>
          <w:sz w:val="32"/>
          <w:szCs w:val="32"/>
          <w:highlight w:val="none"/>
          <w:lang w:val="en-US" w:eastAsia="zh-CN" w:bidi="ar-SA"/>
        </w:rPr>
        <w:t>万元，完成预算的</w:t>
      </w:r>
      <w:r>
        <w:rPr>
          <w:rFonts w:hint="eastAsia" w:ascii="仿宋_GB2312" w:hAnsi="仿宋_GB2312" w:eastAsia="仿宋_GB2312" w:cs="仿宋_GB2312"/>
          <w:kern w:val="2"/>
          <w:sz w:val="32"/>
          <w:szCs w:val="32"/>
          <w:highlight w:val="none"/>
          <w:lang w:val="en-US" w:eastAsia="en-US" w:bidi="ar-SA"/>
        </w:rPr>
        <w:t xml:space="preserve"> 100.00%</w:t>
      </w:r>
      <w:r>
        <w:rPr>
          <w:rFonts w:hint="eastAsia" w:ascii="仿宋_GB2312" w:hAnsi="仿宋_GB2312" w:eastAsia="仿宋_GB2312" w:cs="仿宋_GB2312"/>
          <w:kern w:val="2"/>
          <w:sz w:val="32"/>
          <w:szCs w:val="32"/>
          <w:highlight w:val="none"/>
          <w:lang w:val="en-US" w:eastAsia="zh-CN" w:bidi="ar-SA"/>
        </w:rPr>
        <w:t>。其中：因公出国（境）费全年预算</w:t>
      </w:r>
      <w:r>
        <w:rPr>
          <w:rFonts w:hint="eastAsia" w:ascii="仿宋_GB2312" w:hAnsi="仿宋_GB2312" w:eastAsia="仿宋_GB2312" w:cs="仿宋_GB2312"/>
          <w:kern w:val="2"/>
          <w:sz w:val="32"/>
          <w:szCs w:val="32"/>
          <w:highlight w:val="none"/>
          <w:lang w:val="en-US" w:eastAsia="en-US" w:bidi="ar-SA"/>
        </w:rPr>
        <w:t xml:space="preserve"> 1.72</w:t>
      </w:r>
      <w:r>
        <w:rPr>
          <w:rFonts w:hint="eastAsia" w:ascii="仿宋_GB2312" w:hAnsi="仿宋_GB2312" w:eastAsia="仿宋_GB2312" w:cs="仿宋_GB2312"/>
          <w:kern w:val="2"/>
          <w:sz w:val="32"/>
          <w:szCs w:val="32"/>
          <w:highlight w:val="none"/>
          <w:lang w:val="en-US" w:eastAsia="zh-CN" w:bidi="ar-SA"/>
        </w:rPr>
        <w:t>万元，支出决算</w:t>
      </w:r>
      <w:r>
        <w:rPr>
          <w:rFonts w:hint="eastAsia" w:ascii="仿宋_GB2312" w:hAnsi="仿宋_GB2312" w:eastAsia="仿宋_GB2312" w:cs="仿宋_GB2312"/>
          <w:kern w:val="2"/>
          <w:sz w:val="32"/>
          <w:szCs w:val="32"/>
          <w:highlight w:val="none"/>
          <w:lang w:val="en-US" w:eastAsia="en-US" w:bidi="ar-SA"/>
        </w:rPr>
        <w:t xml:space="preserve"> 1.72</w:t>
      </w:r>
      <w:r>
        <w:rPr>
          <w:rFonts w:hint="eastAsia" w:ascii="仿宋_GB2312" w:hAnsi="仿宋_GB2312" w:eastAsia="仿宋_GB2312" w:cs="仿宋_GB2312"/>
          <w:kern w:val="2"/>
          <w:sz w:val="32"/>
          <w:szCs w:val="32"/>
          <w:highlight w:val="none"/>
          <w:lang w:val="en-US" w:eastAsia="zh-CN" w:bidi="ar-SA"/>
        </w:rPr>
        <w:t>万元，完成预算的</w:t>
      </w:r>
      <w:r>
        <w:rPr>
          <w:rFonts w:hint="eastAsia" w:ascii="仿宋_GB2312" w:hAnsi="仿宋_GB2312" w:eastAsia="仿宋_GB2312" w:cs="仿宋_GB2312"/>
          <w:kern w:val="2"/>
          <w:sz w:val="32"/>
          <w:szCs w:val="32"/>
          <w:highlight w:val="none"/>
          <w:lang w:val="en-US" w:eastAsia="en-US" w:bidi="ar-SA"/>
        </w:rPr>
        <w:t xml:space="preserve"> 100.00%</w:t>
      </w:r>
      <w:r>
        <w:rPr>
          <w:rFonts w:hint="eastAsia" w:ascii="仿宋_GB2312" w:hAnsi="仿宋_GB2312" w:eastAsia="仿宋_GB2312" w:cs="仿宋_GB2312"/>
          <w:kern w:val="2"/>
          <w:sz w:val="32"/>
          <w:szCs w:val="32"/>
          <w:highlight w:val="none"/>
          <w:lang w:val="en-US" w:eastAsia="zh-CN" w:bidi="ar-SA"/>
        </w:rPr>
        <w:t>；公务用车购置及运行维护费全年预算</w:t>
      </w:r>
      <w:r>
        <w:rPr>
          <w:rFonts w:hint="eastAsia" w:ascii="仿宋_GB2312" w:hAnsi="仿宋_GB2312" w:eastAsia="仿宋_GB2312" w:cs="仿宋_GB2312"/>
          <w:kern w:val="2"/>
          <w:sz w:val="32"/>
          <w:szCs w:val="32"/>
          <w:highlight w:val="none"/>
          <w:lang w:val="en-US" w:eastAsia="en-US" w:bidi="ar-SA"/>
        </w:rPr>
        <w:t xml:space="preserve"> 51.69</w:t>
      </w:r>
      <w:r>
        <w:rPr>
          <w:rFonts w:hint="eastAsia" w:ascii="仿宋_GB2312" w:hAnsi="仿宋_GB2312" w:eastAsia="仿宋_GB2312" w:cs="仿宋_GB2312"/>
          <w:kern w:val="2"/>
          <w:sz w:val="32"/>
          <w:szCs w:val="32"/>
          <w:highlight w:val="none"/>
          <w:lang w:val="en-US" w:eastAsia="zh-CN" w:bidi="ar-SA"/>
        </w:rPr>
        <w:t>万元，支出决算</w:t>
      </w:r>
      <w:r>
        <w:rPr>
          <w:rFonts w:hint="eastAsia" w:ascii="仿宋_GB2312" w:hAnsi="仿宋_GB2312" w:eastAsia="仿宋_GB2312" w:cs="仿宋_GB2312"/>
          <w:kern w:val="2"/>
          <w:sz w:val="32"/>
          <w:szCs w:val="32"/>
          <w:highlight w:val="none"/>
          <w:lang w:val="en-US" w:eastAsia="en-US" w:bidi="ar-SA"/>
        </w:rPr>
        <w:t xml:space="preserve"> 51.69</w:t>
      </w:r>
      <w:r>
        <w:rPr>
          <w:rFonts w:hint="eastAsia" w:ascii="仿宋_GB2312" w:hAnsi="仿宋_GB2312" w:eastAsia="仿宋_GB2312" w:cs="仿宋_GB2312"/>
          <w:kern w:val="2"/>
          <w:sz w:val="32"/>
          <w:szCs w:val="32"/>
          <w:highlight w:val="none"/>
          <w:lang w:val="en-US" w:eastAsia="zh-CN" w:bidi="ar-SA"/>
        </w:rPr>
        <w:t>万元，完成预算的</w:t>
      </w:r>
      <w:r>
        <w:rPr>
          <w:rFonts w:hint="eastAsia" w:ascii="仿宋_GB2312" w:hAnsi="仿宋_GB2312" w:eastAsia="仿宋_GB2312" w:cs="仿宋_GB2312"/>
          <w:kern w:val="2"/>
          <w:sz w:val="32"/>
          <w:szCs w:val="32"/>
          <w:highlight w:val="none"/>
          <w:lang w:val="en-US" w:eastAsia="en-US" w:bidi="ar-SA"/>
        </w:rPr>
        <w:t xml:space="preserve"> 100.00%</w:t>
      </w:r>
      <w:r>
        <w:rPr>
          <w:rFonts w:hint="eastAsia" w:ascii="仿宋_GB2312" w:hAnsi="仿宋_GB2312" w:eastAsia="仿宋_GB2312" w:cs="仿宋_GB2312"/>
          <w:kern w:val="2"/>
          <w:sz w:val="32"/>
          <w:szCs w:val="32"/>
          <w:highlight w:val="none"/>
          <w:lang w:val="en-US" w:eastAsia="zh-CN" w:bidi="ar-SA"/>
        </w:rPr>
        <w:t>；公务接待费全年预算</w:t>
      </w:r>
      <w:r>
        <w:rPr>
          <w:rFonts w:hint="eastAsia" w:ascii="仿宋_GB2312" w:hAnsi="仿宋_GB2312" w:eastAsia="仿宋_GB2312" w:cs="仿宋_GB2312"/>
          <w:kern w:val="2"/>
          <w:sz w:val="32"/>
          <w:szCs w:val="32"/>
          <w:highlight w:val="none"/>
          <w:lang w:val="en-US" w:eastAsia="en-US" w:bidi="ar-SA"/>
        </w:rPr>
        <w:t xml:space="preserve"> 1.54</w:t>
      </w:r>
      <w:r>
        <w:rPr>
          <w:rFonts w:hint="eastAsia" w:ascii="仿宋_GB2312" w:hAnsi="仿宋_GB2312" w:eastAsia="仿宋_GB2312" w:cs="仿宋_GB2312"/>
          <w:kern w:val="2"/>
          <w:sz w:val="32"/>
          <w:szCs w:val="32"/>
          <w:highlight w:val="none"/>
          <w:lang w:val="en-US" w:eastAsia="zh-CN" w:bidi="ar-SA"/>
        </w:rPr>
        <w:t>万元，支出决算</w:t>
      </w:r>
      <w:r>
        <w:rPr>
          <w:rFonts w:hint="eastAsia" w:ascii="仿宋_GB2312" w:hAnsi="仿宋_GB2312" w:eastAsia="仿宋_GB2312" w:cs="仿宋_GB2312"/>
          <w:kern w:val="2"/>
          <w:sz w:val="32"/>
          <w:szCs w:val="32"/>
          <w:highlight w:val="none"/>
          <w:lang w:val="en-US" w:eastAsia="en-US" w:bidi="ar-SA"/>
        </w:rPr>
        <w:t xml:space="preserve"> 1.54</w:t>
      </w:r>
      <w:r>
        <w:rPr>
          <w:rFonts w:hint="eastAsia" w:ascii="仿宋_GB2312" w:hAnsi="仿宋_GB2312" w:eastAsia="仿宋_GB2312" w:cs="仿宋_GB2312"/>
          <w:kern w:val="2"/>
          <w:sz w:val="32"/>
          <w:szCs w:val="32"/>
          <w:highlight w:val="none"/>
          <w:lang w:val="en-US" w:eastAsia="zh-CN" w:bidi="ar-SA"/>
        </w:rPr>
        <w:t>万元，完成预算的</w:t>
      </w:r>
      <w:r>
        <w:rPr>
          <w:rFonts w:hint="eastAsia" w:ascii="仿宋_GB2312" w:hAnsi="仿宋_GB2312" w:eastAsia="仿宋_GB2312" w:cs="仿宋_GB2312"/>
          <w:kern w:val="2"/>
          <w:sz w:val="32"/>
          <w:szCs w:val="32"/>
          <w:highlight w:val="none"/>
          <w:lang w:val="en-US" w:eastAsia="en-US" w:bidi="ar-SA"/>
        </w:rPr>
        <w:t xml:space="preserve"> 100.00%</w:t>
      </w:r>
      <w:r>
        <w:rPr>
          <w:rFonts w:hint="eastAsia"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年度一般公共预算财政拨款“三公”经费全年预算</w:t>
      </w:r>
      <w:r>
        <w:rPr>
          <w:rFonts w:hint="eastAsia" w:ascii="仿宋_GB2312" w:hAnsi="仿宋_GB2312" w:eastAsia="仿宋_GB2312" w:cs="仿宋_GB2312"/>
          <w:kern w:val="2"/>
          <w:sz w:val="32"/>
          <w:szCs w:val="32"/>
          <w:highlight w:val="none"/>
          <w:lang w:val="en-US" w:eastAsia="en-US" w:bidi="ar-SA"/>
        </w:rPr>
        <w:t xml:space="preserve"> 54.94</w:t>
      </w:r>
      <w:r>
        <w:rPr>
          <w:rFonts w:hint="eastAsia" w:ascii="仿宋_GB2312" w:hAnsi="仿宋_GB2312" w:eastAsia="仿宋_GB2312" w:cs="仿宋_GB2312"/>
          <w:kern w:val="2"/>
          <w:sz w:val="32"/>
          <w:szCs w:val="32"/>
          <w:highlight w:val="none"/>
          <w:lang w:val="en-US" w:eastAsia="zh-CN" w:bidi="ar-SA"/>
        </w:rPr>
        <w:t>万元，支出决算</w:t>
      </w:r>
      <w:r>
        <w:rPr>
          <w:rFonts w:hint="eastAsia" w:ascii="仿宋_GB2312" w:hAnsi="仿宋_GB2312" w:eastAsia="仿宋_GB2312" w:cs="仿宋_GB2312"/>
          <w:kern w:val="2"/>
          <w:sz w:val="32"/>
          <w:szCs w:val="32"/>
          <w:highlight w:val="none"/>
          <w:lang w:val="en-US" w:eastAsia="en-US" w:bidi="ar-SA"/>
        </w:rPr>
        <w:t xml:space="preserve"> 54.94</w:t>
      </w:r>
      <w:r>
        <w:rPr>
          <w:rFonts w:hint="eastAsia" w:ascii="仿宋_GB2312" w:hAnsi="仿宋_GB2312" w:eastAsia="仿宋_GB2312" w:cs="仿宋_GB2312"/>
          <w:kern w:val="2"/>
          <w:sz w:val="32"/>
          <w:szCs w:val="32"/>
          <w:highlight w:val="none"/>
          <w:lang w:val="en-US" w:eastAsia="zh-CN" w:bidi="ar-SA"/>
        </w:rPr>
        <w:t>万元，与预算差异原因：无差异。</w:t>
      </w:r>
    </w:p>
    <w:p w14:paraId="3040F7DC">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方正楷体_GB2312" w:hAnsi="方正楷体_GB2312" w:eastAsia="方正楷体_GB2312" w:cs="方正楷体_GB2312"/>
          <w:b w:val="0"/>
          <w:bCs w:val="0"/>
          <w:kern w:val="0"/>
          <w:sz w:val="32"/>
          <w:szCs w:val="32"/>
          <w:u w:val="none" w:color="auto"/>
          <w:lang w:val="en-US" w:eastAsia="zh-CN"/>
        </w:rPr>
      </w:pPr>
      <w:r>
        <w:rPr>
          <w:rFonts w:hint="eastAsia" w:ascii="方正楷体_GB2312" w:hAnsi="方正楷体_GB2312" w:eastAsia="方正楷体_GB2312" w:cs="方正楷体_GB2312"/>
          <w:b w:val="0"/>
          <w:bCs w:val="0"/>
          <w:kern w:val="0"/>
          <w:sz w:val="32"/>
          <w:szCs w:val="32"/>
          <w:u w:val="none" w:color="auto"/>
          <w:lang w:val="en-US" w:eastAsia="zh-CN"/>
        </w:rPr>
        <w:t>（二）财政拨款</w:t>
      </w:r>
      <w:r>
        <w:rPr>
          <w:rFonts w:hint="eastAsia" w:ascii="方正楷体_GB2312" w:hAnsi="方正楷体_GB2312" w:eastAsia="方正楷体_GB2312" w:cs="方正楷体_GB2312"/>
          <w:b w:val="0"/>
          <w:bCs w:val="0"/>
          <w:kern w:val="0"/>
          <w:sz w:val="32"/>
          <w:szCs w:val="32"/>
          <w:u w:val="none" w:color="auto"/>
          <w:lang w:val="en-US" w:eastAsia="en-US"/>
        </w:rPr>
        <w:t>“</w:t>
      </w:r>
      <w:r>
        <w:rPr>
          <w:rFonts w:hint="eastAsia" w:ascii="方正楷体_GB2312" w:hAnsi="方正楷体_GB2312" w:eastAsia="方正楷体_GB2312" w:cs="方正楷体_GB2312"/>
          <w:b w:val="0"/>
          <w:bCs w:val="0"/>
          <w:kern w:val="0"/>
          <w:sz w:val="32"/>
          <w:szCs w:val="32"/>
          <w:u w:val="none" w:color="auto"/>
          <w:lang w:val="en-US" w:eastAsia="zh-CN"/>
        </w:rPr>
        <w:t>三公</w:t>
      </w:r>
      <w:r>
        <w:rPr>
          <w:rFonts w:hint="eastAsia" w:ascii="方正楷体_GB2312" w:hAnsi="方正楷体_GB2312" w:eastAsia="方正楷体_GB2312" w:cs="方正楷体_GB2312"/>
          <w:b w:val="0"/>
          <w:bCs w:val="0"/>
          <w:kern w:val="0"/>
          <w:sz w:val="32"/>
          <w:szCs w:val="32"/>
          <w:u w:val="none" w:color="auto"/>
          <w:lang w:val="en-US" w:eastAsia="en-US"/>
        </w:rPr>
        <w:t>”</w:t>
      </w:r>
      <w:r>
        <w:rPr>
          <w:rFonts w:hint="eastAsia" w:ascii="方正楷体_GB2312" w:hAnsi="方正楷体_GB2312" w:eastAsia="方正楷体_GB2312" w:cs="方正楷体_GB2312"/>
          <w:b w:val="0"/>
          <w:bCs w:val="0"/>
          <w:kern w:val="0"/>
          <w:sz w:val="32"/>
          <w:szCs w:val="32"/>
          <w:u w:val="none" w:color="auto"/>
          <w:lang w:val="en-US" w:eastAsia="zh-CN"/>
        </w:rPr>
        <w:t>经费支出具体情况说明。</w:t>
      </w:r>
    </w:p>
    <w:p w14:paraId="3CABAE22">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巴彦淖尔市卫生健康委员会部门 </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年度财政拨款“三公”经费支出</w:t>
      </w:r>
      <w:r>
        <w:rPr>
          <w:rFonts w:hint="eastAsia" w:ascii="仿宋_GB2312" w:hAnsi="仿宋_GB2312" w:eastAsia="仿宋_GB2312" w:cs="仿宋_GB2312"/>
          <w:kern w:val="2"/>
          <w:sz w:val="32"/>
          <w:szCs w:val="32"/>
          <w:highlight w:val="none"/>
          <w:lang w:val="en-US" w:eastAsia="en-US" w:bidi="ar-SA"/>
        </w:rPr>
        <w:t xml:space="preserve"> 54.94</w:t>
      </w:r>
      <w:r>
        <w:rPr>
          <w:rFonts w:hint="eastAsia" w:ascii="仿宋_GB2312" w:hAnsi="仿宋_GB2312" w:eastAsia="仿宋_GB2312" w:cs="仿宋_GB2312"/>
          <w:kern w:val="2"/>
          <w:sz w:val="32"/>
          <w:szCs w:val="32"/>
          <w:highlight w:val="none"/>
          <w:lang w:val="en-US" w:eastAsia="zh-CN" w:bidi="ar-SA"/>
        </w:rPr>
        <w:t>万元。因公出国（境）费支出</w:t>
      </w:r>
      <w:r>
        <w:rPr>
          <w:rFonts w:hint="eastAsia" w:ascii="仿宋_GB2312" w:hAnsi="仿宋_GB2312" w:eastAsia="仿宋_GB2312" w:cs="仿宋_GB2312"/>
          <w:kern w:val="2"/>
          <w:sz w:val="32"/>
          <w:szCs w:val="32"/>
          <w:highlight w:val="none"/>
          <w:lang w:val="en-US" w:eastAsia="en-US" w:bidi="ar-SA"/>
        </w:rPr>
        <w:t xml:space="preserve"> 1.72</w:t>
      </w:r>
      <w:r>
        <w:rPr>
          <w:rFonts w:hint="eastAsia" w:ascii="仿宋_GB2312" w:hAnsi="仿宋_GB2312" w:eastAsia="仿宋_GB2312" w:cs="仿宋_GB2312"/>
          <w:kern w:val="2"/>
          <w:sz w:val="32"/>
          <w:szCs w:val="32"/>
          <w:highlight w:val="none"/>
          <w:lang w:val="en-US" w:eastAsia="zh-CN" w:bidi="ar-SA"/>
        </w:rPr>
        <w:t>万元，占</w:t>
      </w:r>
      <w:r>
        <w:rPr>
          <w:rFonts w:hint="eastAsia" w:ascii="仿宋_GB2312" w:hAnsi="仿宋_GB2312" w:eastAsia="仿宋_GB2312" w:cs="仿宋_GB2312"/>
          <w:kern w:val="2"/>
          <w:sz w:val="32"/>
          <w:szCs w:val="32"/>
          <w:highlight w:val="none"/>
          <w:lang w:val="en-US" w:eastAsia="en-US" w:bidi="ar-SA"/>
        </w:rPr>
        <w:t xml:space="preserve"> 3.13%</w:t>
      </w:r>
      <w:r>
        <w:rPr>
          <w:rFonts w:hint="eastAsia" w:ascii="仿宋_GB2312" w:hAnsi="仿宋_GB2312" w:eastAsia="仿宋_GB2312" w:cs="仿宋_GB2312"/>
          <w:kern w:val="2"/>
          <w:sz w:val="32"/>
          <w:szCs w:val="32"/>
          <w:highlight w:val="none"/>
          <w:lang w:val="en-US" w:eastAsia="zh-CN" w:bidi="ar-SA"/>
        </w:rPr>
        <w:t>；公务用车购置及运行维护费支出</w:t>
      </w:r>
      <w:r>
        <w:rPr>
          <w:rFonts w:hint="eastAsia" w:ascii="仿宋_GB2312" w:hAnsi="仿宋_GB2312" w:eastAsia="仿宋_GB2312" w:cs="仿宋_GB2312"/>
          <w:kern w:val="2"/>
          <w:sz w:val="32"/>
          <w:szCs w:val="32"/>
          <w:highlight w:val="none"/>
          <w:lang w:val="en-US" w:eastAsia="en-US" w:bidi="ar-SA"/>
        </w:rPr>
        <w:t xml:space="preserve"> 51.69</w:t>
      </w:r>
      <w:r>
        <w:rPr>
          <w:rFonts w:hint="eastAsia" w:ascii="仿宋_GB2312" w:hAnsi="仿宋_GB2312" w:eastAsia="仿宋_GB2312" w:cs="仿宋_GB2312"/>
          <w:kern w:val="2"/>
          <w:sz w:val="32"/>
          <w:szCs w:val="32"/>
          <w:highlight w:val="none"/>
          <w:lang w:val="en-US" w:eastAsia="zh-CN" w:bidi="ar-SA"/>
        </w:rPr>
        <w:t>万元，占</w:t>
      </w:r>
      <w:r>
        <w:rPr>
          <w:rFonts w:hint="eastAsia" w:ascii="仿宋_GB2312" w:hAnsi="仿宋_GB2312" w:eastAsia="仿宋_GB2312" w:cs="仿宋_GB2312"/>
          <w:kern w:val="2"/>
          <w:sz w:val="32"/>
          <w:szCs w:val="32"/>
          <w:highlight w:val="none"/>
          <w:lang w:val="en-US" w:eastAsia="en-US" w:bidi="ar-SA"/>
        </w:rPr>
        <w:t xml:space="preserve"> 94.08%</w:t>
      </w:r>
      <w:r>
        <w:rPr>
          <w:rFonts w:hint="eastAsia" w:ascii="仿宋_GB2312" w:hAnsi="仿宋_GB2312" w:eastAsia="仿宋_GB2312" w:cs="仿宋_GB2312"/>
          <w:kern w:val="2"/>
          <w:sz w:val="32"/>
          <w:szCs w:val="32"/>
          <w:highlight w:val="none"/>
          <w:lang w:val="en-US" w:eastAsia="zh-CN" w:bidi="ar-SA"/>
        </w:rPr>
        <w:t>；公务接待费支出</w:t>
      </w:r>
      <w:r>
        <w:rPr>
          <w:rFonts w:hint="eastAsia" w:ascii="仿宋_GB2312" w:hAnsi="仿宋_GB2312" w:eastAsia="仿宋_GB2312" w:cs="仿宋_GB2312"/>
          <w:kern w:val="2"/>
          <w:sz w:val="32"/>
          <w:szCs w:val="32"/>
          <w:highlight w:val="none"/>
          <w:lang w:val="en-US" w:eastAsia="en-US" w:bidi="ar-SA"/>
        </w:rPr>
        <w:t xml:space="preserve"> 1.54</w:t>
      </w:r>
      <w:r>
        <w:rPr>
          <w:rFonts w:hint="eastAsia" w:ascii="仿宋_GB2312" w:hAnsi="仿宋_GB2312" w:eastAsia="仿宋_GB2312" w:cs="仿宋_GB2312"/>
          <w:kern w:val="2"/>
          <w:sz w:val="32"/>
          <w:szCs w:val="32"/>
          <w:highlight w:val="none"/>
          <w:lang w:val="en-US" w:eastAsia="zh-CN" w:bidi="ar-SA"/>
        </w:rPr>
        <w:t>万元，占</w:t>
      </w:r>
      <w:r>
        <w:rPr>
          <w:rFonts w:hint="eastAsia" w:ascii="仿宋_GB2312" w:hAnsi="仿宋_GB2312" w:eastAsia="仿宋_GB2312" w:cs="仿宋_GB2312"/>
          <w:kern w:val="2"/>
          <w:sz w:val="32"/>
          <w:szCs w:val="32"/>
          <w:highlight w:val="none"/>
          <w:lang w:val="en-US" w:eastAsia="en-US" w:bidi="ar-SA"/>
        </w:rPr>
        <w:t xml:space="preserve"> 2.79%</w:t>
      </w:r>
      <w:r>
        <w:rPr>
          <w:rFonts w:hint="eastAsia" w:ascii="仿宋_GB2312" w:hAnsi="仿宋_GB2312" w:eastAsia="仿宋_GB2312" w:cs="仿宋_GB2312"/>
          <w:kern w:val="2"/>
          <w:sz w:val="32"/>
          <w:szCs w:val="32"/>
          <w:highlight w:val="none"/>
          <w:lang w:val="en-US" w:eastAsia="zh-CN" w:bidi="ar-SA"/>
        </w:rPr>
        <w:t>。其中：</w:t>
      </w:r>
    </w:p>
    <w:p w14:paraId="411B62D0">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因公出国（境）费支出</w:t>
      </w:r>
      <w:r>
        <w:rPr>
          <w:rFonts w:hint="eastAsia" w:ascii="仿宋_GB2312" w:hAnsi="仿宋_GB2312" w:eastAsia="仿宋_GB2312" w:cs="仿宋_GB2312"/>
          <w:kern w:val="2"/>
          <w:sz w:val="32"/>
          <w:szCs w:val="32"/>
          <w:highlight w:val="none"/>
          <w:lang w:val="en-US" w:eastAsia="en-US" w:bidi="ar-SA"/>
        </w:rPr>
        <w:t xml:space="preserve"> 1.72</w:t>
      </w:r>
      <w:r>
        <w:rPr>
          <w:rFonts w:hint="eastAsia" w:ascii="仿宋_GB2312" w:hAnsi="仿宋_GB2312" w:eastAsia="仿宋_GB2312" w:cs="仿宋_GB2312"/>
          <w:kern w:val="2"/>
          <w:sz w:val="32"/>
          <w:szCs w:val="32"/>
          <w:highlight w:val="none"/>
          <w:lang w:val="en-US" w:eastAsia="zh-CN" w:bidi="ar-SA"/>
        </w:rPr>
        <w:t>万元，全年出国（境）团组</w:t>
      </w:r>
      <w:r>
        <w:rPr>
          <w:rFonts w:hint="eastAsia" w:ascii="仿宋_GB2312" w:hAnsi="仿宋_GB2312" w:eastAsia="仿宋_GB2312" w:cs="仿宋_GB2312"/>
          <w:kern w:val="2"/>
          <w:sz w:val="32"/>
          <w:szCs w:val="32"/>
          <w:highlight w:val="none"/>
          <w:lang w:val="en-US" w:eastAsia="en-US" w:bidi="ar-SA"/>
        </w:rPr>
        <w:t xml:space="preserve">1 </w:t>
      </w:r>
      <w:r>
        <w:rPr>
          <w:rFonts w:hint="eastAsia" w:ascii="仿宋_GB2312" w:hAnsi="仿宋_GB2312" w:eastAsia="仿宋_GB2312" w:cs="仿宋_GB2312"/>
          <w:kern w:val="2"/>
          <w:sz w:val="32"/>
          <w:szCs w:val="32"/>
          <w:highlight w:val="none"/>
          <w:lang w:val="en-US" w:eastAsia="zh-CN" w:bidi="ar-SA"/>
        </w:rPr>
        <w:t>个，累计</w:t>
      </w:r>
      <w:r>
        <w:rPr>
          <w:rFonts w:hint="eastAsia" w:ascii="仿宋_GB2312" w:hAnsi="仿宋_GB2312" w:eastAsia="仿宋_GB2312" w:cs="仿宋_GB2312"/>
          <w:kern w:val="2"/>
          <w:sz w:val="32"/>
          <w:szCs w:val="32"/>
          <w:highlight w:val="none"/>
          <w:lang w:val="en-US" w:eastAsia="en-US" w:bidi="ar-SA"/>
        </w:rPr>
        <w:t xml:space="preserve">1 </w:t>
      </w:r>
      <w:r>
        <w:rPr>
          <w:rFonts w:hint="eastAsia" w:ascii="仿宋_GB2312" w:hAnsi="仿宋_GB2312" w:eastAsia="仿宋_GB2312" w:cs="仿宋_GB2312"/>
          <w:kern w:val="2"/>
          <w:sz w:val="32"/>
          <w:szCs w:val="32"/>
          <w:highlight w:val="none"/>
          <w:lang w:val="en-US" w:eastAsia="zh-CN" w:bidi="ar-SA"/>
        </w:rPr>
        <w:t>人次。与上年决算相比，增加</w:t>
      </w:r>
      <w:r>
        <w:rPr>
          <w:rFonts w:hint="eastAsia" w:ascii="仿宋_GB2312" w:hAnsi="仿宋_GB2312" w:eastAsia="仿宋_GB2312" w:cs="仿宋_GB2312"/>
          <w:kern w:val="2"/>
          <w:sz w:val="32"/>
          <w:szCs w:val="32"/>
          <w:highlight w:val="none"/>
          <w:lang w:val="en-US" w:eastAsia="en-US" w:bidi="ar-SA"/>
        </w:rPr>
        <w:t xml:space="preserve"> 1.72</w:t>
      </w:r>
      <w:r>
        <w:rPr>
          <w:rFonts w:hint="eastAsia" w:ascii="仿宋_GB2312" w:hAnsi="仿宋_GB2312" w:eastAsia="仿宋_GB2312" w:cs="仿宋_GB2312"/>
          <w:kern w:val="2"/>
          <w:sz w:val="32"/>
          <w:szCs w:val="32"/>
          <w:highlight w:val="none"/>
          <w:lang w:val="en-US" w:eastAsia="zh-CN" w:bidi="ar-SA"/>
        </w:rPr>
        <w:t>万元，增长100</w:t>
      </w:r>
      <w:r>
        <w:rPr>
          <w:rFonts w:hint="eastAsia" w:ascii="仿宋_GB2312" w:hAnsi="仿宋_GB2312" w:eastAsia="仿宋_GB2312" w:cs="仿宋_GB2312"/>
          <w:kern w:val="2"/>
          <w:sz w:val="32"/>
          <w:szCs w:val="32"/>
          <w:highlight w:val="none"/>
          <w:lang w:val="en-US" w:eastAsia="en-US" w:bidi="ar-SA"/>
        </w:rPr>
        <w:t>%</w:t>
      </w:r>
      <w:r>
        <w:rPr>
          <w:rFonts w:hint="eastAsia" w:ascii="仿宋_GB2312" w:hAnsi="仿宋_GB2312" w:eastAsia="仿宋_GB2312" w:cs="仿宋_GB2312"/>
          <w:kern w:val="2"/>
          <w:sz w:val="32"/>
          <w:szCs w:val="32"/>
          <w:highlight w:val="none"/>
          <w:lang w:val="en-US" w:eastAsia="zh-CN" w:bidi="ar-SA"/>
        </w:rPr>
        <w:t>，变动原因：市卫健委一人赴日本交流合作。</w:t>
      </w:r>
    </w:p>
    <w:p w14:paraId="48040468">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2.</w:t>
      </w:r>
      <w:r>
        <w:rPr>
          <w:rFonts w:hint="eastAsia" w:ascii="仿宋_GB2312" w:hAnsi="仿宋_GB2312" w:eastAsia="仿宋_GB2312" w:cs="仿宋_GB2312"/>
          <w:kern w:val="2"/>
          <w:sz w:val="32"/>
          <w:szCs w:val="32"/>
          <w:highlight w:val="none"/>
          <w:lang w:val="en-US" w:eastAsia="zh-CN" w:bidi="ar-SA"/>
        </w:rPr>
        <w:t>公务用车购置及运行维护费支出</w:t>
      </w:r>
      <w:r>
        <w:rPr>
          <w:rFonts w:hint="eastAsia" w:ascii="仿宋_GB2312" w:hAnsi="仿宋_GB2312" w:eastAsia="仿宋_GB2312" w:cs="仿宋_GB2312"/>
          <w:kern w:val="2"/>
          <w:sz w:val="32"/>
          <w:szCs w:val="32"/>
          <w:highlight w:val="none"/>
          <w:lang w:val="en-US" w:eastAsia="en-US" w:bidi="ar-SA"/>
        </w:rPr>
        <w:t xml:space="preserve"> 51.69</w:t>
      </w:r>
      <w:r>
        <w:rPr>
          <w:rFonts w:hint="eastAsia" w:ascii="仿宋_GB2312" w:hAnsi="仿宋_GB2312" w:eastAsia="仿宋_GB2312" w:cs="仿宋_GB2312"/>
          <w:kern w:val="2"/>
          <w:sz w:val="32"/>
          <w:szCs w:val="32"/>
          <w:highlight w:val="none"/>
          <w:lang w:val="en-US" w:eastAsia="zh-CN" w:bidi="ar-SA"/>
        </w:rPr>
        <w:t>万元。其中：</w:t>
      </w:r>
    </w:p>
    <w:p w14:paraId="0C90D18F">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en-US" w:bidi="ar-SA"/>
        </w:rPr>
        <w:t>1</w:t>
      </w:r>
      <w:r>
        <w:rPr>
          <w:rFonts w:hint="eastAsia" w:ascii="仿宋_GB2312" w:hAnsi="仿宋_GB2312" w:eastAsia="仿宋_GB2312" w:cs="仿宋_GB2312"/>
          <w:kern w:val="2"/>
          <w:sz w:val="32"/>
          <w:szCs w:val="32"/>
          <w:highlight w:val="none"/>
          <w:lang w:val="en-US" w:eastAsia="zh-CN" w:bidi="ar-SA"/>
        </w:rPr>
        <w:t>）公务用车购置支出</w:t>
      </w:r>
      <w:r>
        <w:rPr>
          <w:rFonts w:hint="eastAsia" w:ascii="仿宋_GB2312" w:hAnsi="仿宋_GB2312" w:eastAsia="仿宋_GB2312" w:cs="仿宋_GB2312"/>
          <w:kern w:val="2"/>
          <w:sz w:val="32"/>
          <w:szCs w:val="32"/>
          <w:highlight w:val="none"/>
          <w:lang w:val="en-US" w:eastAsia="en-US" w:bidi="ar-SA"/>
        </w:rPr>
        <w:t xml:space="preserve"> 18.71</w:t>
      </w:r>
      <w:r>
        <w:rPr>
          <w:rFonts w:hint="eastAsia" w:ascii="仿宋_GB2312" w:hAnsi="仿宋_GB2312" w:eastAsia="仿宋_GB2312" w:cs="仿宋_GB2312"/>
          <w:kern w:val="2"/>
          <w:sz w:val="32"/>
          <w:szCs w:val="32"/>
          <w:highlight w:val="none"/>
          <w:lang w:val="en-US" w:eastAsia="zh-CN" w:bidi="ar-SA"/>
        </w:rPr>
        <w:t>万元。本年度使用财政拨款购置公务用车</w:t>
      </w:r>
      <w:r>
        <w:rPr>
          <w:rFonts w:hint="eastAsia" w:ascii="仿宋_GB2312" w:hAnsi="仿宋_GB2312" w:eastAsia="仿宋_GB2312" w:cs="仿宋_GB2312"/>
          <w:kern w:val="2"/>
          <w:sz w:val="32"/>
          <w:szCs w:val="32"/>
          <w:highlight w:val="none"/>
          <w:lang w:val="en-US" w:eastAsia="en-US" w:bidi="ar-SA"/>
        </w:rPr>
        <w:t xml:space="preserve">1 </w:t>
      </w:r>
      <w:r>
        <w:rPr>
          <w:rFonts w:hint="eastAsia" w:ascii="仿宋_GB2312" w:hAnsi="仿宋_GB2312" w:eastAsia="仿宋_GB2312" w:cs="仿宋_GB2312"/>
          <w:kern w:val="2"/>
          <w:sz w:val="32"/>
          <w:szCs w:val="32"/>
          <w:highlight w:val="none"/>
          <w:lang w:val="en-US" w:eastAsia="zh-CN" w:bidi="ar-SA"/>
        </w:rPr>
        <w:t>辆，开支内容：市卫健委新购置公务用车一辆。与上年决算相比，增加 18.71万元，增长100</w:t>
      </w:r>
      <w:r>
        <w:rPr>
          <w:rFonts w:hint="eastAsia" w:ascii="仿宋_GB2312" w:hAnsi="仿宋_GB2312" w:eastAsia="仿宋_GB2312" w:cs="仿宋_GB2312"/>
          <w:kern w:val="2"/>
          <w:sz w:val="32"/>
          <w:szCs w:val="32"/>
          <w:highlight w:val="none"/>
          <w:lang w:val="en-US" w:eastAsia="en-US" w:bidi="ar-SA"/>
        </w:rPr>
        <w:t>%</w:t>
      </w:r>
      <w:r>
        <w:rPr>
          <w:rFonts w:hint="eastAsia" w:ascii="仿宋_GB2312" w:hAnsi="仿宋_GB2312" w:eastAsia="仿宋_GB2312" w:cs="仿宋_GB2312"/>
          <w:kern w:val="2"/>
          <w:sz w:val="32"/>
          <w:szCs w:val="32"/>
          <w:highlight w:val="none"/>
          <w:lang w:val="en-US" w:eastAsia="zh-CN" w:bidi="ar-SA"/>
        </w:rPr>
        <w:t>，变动原因：市卫健委新购置公务用车一辆。</w:t>
      </w:r>
    </w:p>
    <w:p w14:paraId="7FF9EA93">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en-US" w:bidi="ar-SA"/>
        </w:rPr>
        <w:t>2</w:t>
      </w:r>
      <w:r>
        <w:rPr>
          <w:rFonts w:hint="eastAsia" w:ascii="仿宋_GB2312" w:hAnsi="仿宋_GB2312" w:eastAsia="仿宋_GB2312" w:cs="仿宋_GB2312"/>
          <w:kern w:val="2"/>
          <w:sz w:val="32"/>
          <w:szCs w:val="32"/>
          <w:highlight w:val="none"/>
          <w:lang w:val="en-US" w:eastAsia="zh-CN" w:bidi="ar-SA"/>
        </w:rPr>
        <w:t>）公务用车运行维护费支出</w:t>
      </w:r>
      <w:r>
        <w:rPr>
          <w:rFonts w:hint="eastAsia" w:ascii="仿宋_GB2312" w:hAnsi="仿宋_GB2312" w:eastAsia="仿宋_GB2312" w:cs="仿宋_GB2312"/>
          <w:kern w:val="2"/>
          <w:sz w:val="32"/>
          <w:szCs w:val="32"/>
          <w:highlight w:val="none"/>
          <w:lang w:val="en-US" w:eastAsia="en-US" w:bidi="ar-SA"/>
        </w:rPr>
        <w:t xml:space="preserve"> 32.98</w:t>
      </w:r>
      <w:r>
        <w:rPr>
          <w:rFonts w:hint="eastAsia" w:ascii="仿宋_GB2312" w:hAnsi="仿宋_GB2312" w:eastAsia="仿宋_GB2312" w:cs="仿宋_GB2312"/>
          <w:kern w:val="2"/>
          <w:sz w:val="32"/>
          <w:szCs w:val="32"/>
          <w:highlight w:val="none"/>
          <w:lang w:val="en-US" w:eastAsia="zh-CN" w:bidi="ar-SA"/>
        </w:rPr>
        <w:t>万元。公务用车运行维护费主要用于按规定保留的公务用车的燃料费、新能源汽车充电费、维修费、过桥过路费、保险费、安全奖励费用等支出。截至</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w:t>
      </w:r>
      <w:r>
        <w:rPr>
          <w:rFonts w:hint="eastAsia" w:ascii="仿宋_GB2312" w:hAnsi="仿宋_GB2312" w:eastAsia="仿宋_GB2312" w:cs="仿宋_GB2312"/>
          <w:kern w:val="2"/>
          <w:sz w:val="32"/>
          <w:szCs w:val="32"/>
          <w:highlight w:val="none"/>
          <w:lang w:val="en-US" w:eastAsia="en-US" w:bidi="ar-SA"/>
        </w:rPr>
        <w:t>12</w:t>
      </w:r>
      <w:r>
        <w:rPr>
          <w:rFonts w:hint="eastAsia" w:ascii="仿宋_GB2312" w:hAnsi="仿宋_GB2312" w:eastAsia="仿宋_GB2312" w:cs="仿宋_GB2312"/>
          <w:kern w:val="2"/>
          <w:sz w:val="32"/>
          <w:szCs w:val="32"/>
          <w:highlight w:val="none"/>
          <w:lang w:val="en-US" w:eastAsia="zh-CN" w:bidi="ar-SA"/>
        </w:rPr>
        <w:t>月</w:t>
      </w:r>
      <w:r>
        <w:rPr>
          <w:rFonts w:hint="eastAsia" w:ascii="仿宋_GB2312" w:hAnsi="仿宋_GB2312" w:eastAsia="仿宋_GB2312" w:cs="仿宋_GB2312"/>
          <w:kern w:val="2"/>
          <w:sz w:val="32"/>
          <w:szCs w:val="32"/>
          <w:highlight w:val="none"/>
          <w:lang w:val="en-US" w:eastAsia="en-US" w:bidi="ar-SA"/>
        </w:rPr>
        <w:t>31</w:t>
      </w:r>
      <w:r>
        <w:rPr>
          <w:rFonts w:hint="eastAsia" w:ascii="仿宋_GB2312" w:hAnsi="仿宋_GB2312" w:eastAsia="仿宋_GB2312" w:cs="仿宋_GB2312"/>
          <w:kern w:val="2"/>
          <w:sz w:val="32"/>
          <w:szCs w:val="32"/>
          <w:highlight w:val="none"/>
          <w:lang w:val="en-US" w:eastAsia="zh-CN" w:bidi="ar-SA"/>
        </w:rPr>
        <w:t>日，使用财政拨款开支的公务用车保有量为</w:t>
      </w:r>
      <w:r>
        <w:rPr>
          <w:rFonts w:hint="eastAsia" w:ascii="仿宋_GB2312" w:hAnsi="仿宋_GB2312" w:eastAsia="仿宋_GB2312" w:cs="仿宋_GB2312"/>
          <w:kern w:val="2"/>
          <w:sz w:val="32"/>
          <w:szCs w:val="32"/>
          <w:highlight w:val="none"/>
          <w:lang w:val="en-US" w:eastAsia="en-US" w:bidi="ar-SA"/>
        </w:rPr>
        <w:t xml:space="preserve">25 </w:t>
      </w:r>
      <w:r>
        <w:rPr>
          <w:rFonts w:hint="eastAsia" w:ascii="仿宋_GB2312" w:hAnsi="仿宋_GB2312" w:eastAsia="仿宋_GB2312" w:cs="仿宋_GB2312"/>
          <w:kern w:val="2"/>
          <w:sz w:val="32"/>
          <w:szCs w:val="32"/>
          <w:highlight w:val="none"/>
          <w:lang w:val="en-US" w:eastAsia="zh-CN" w:bidi="ar-SA"/>
        </w:rPr>
        <w:t>辆。与上年决算相比，增加</w:t>
      </w:r>
      <w:r>
        <w:rPr>
          <w:rFonts w:hint="eastAsia" w:ascii="仿宋_GB2312" w:hAnsi="仿宋_GB2312" w:eastAsia="仿宋_GB2312" w:cs="仿宋_GB2312"/>
          <w:kern w:val="2"/>
          <w:sz w:val="32"/>
          <w:szCs w:val="32"/>
          <w:highlight w:val="none"/>
          <w:lang w:val="en-US" w:eastAsia="en-US" w:bidi="ar-SA"/>
        </w:rPr>
        <w:t xml:space="preserve"> 2.09</w:t>
      </w:r>
      <w:r>
        <w:rPr>
          <w:rFonts w:hint="eastAsia" w:ascii="仿宋_GB2312" w:hAnsi="仿宋_GB2312" w:eastAsia="仿宋_GB2312" w:cs="仿宋_GB2312"/>
          <w:kern w:val="2"/>
          <w:sz w:val="32"/>
          <w:szCs w:val="32"/>
          <w:highlight w:val="none"/>
          <w:lang w:val="en-US" w:eastAsia="zh-CN" w:bidi="ar-SA"/>
        </w:rPr>
        <w:t>万元，增长</w:t>
      </w:r>
      <w:r>
        <w:rPr>
          <w:rFonts w:hint="eastAsia" w:ascii="仿宋_GB2312" w:hAnsi="仿宋_GB2312" w:eastAsia="仿宋_GB2312" w:cs="仿宋_GB2312"/>
          <w:kern w:val="2"/>
          <w:sz w:val="32"/>
          <w:szCs w:val="32"/>
          <w:highlight w:val="none"/>
          <w:lang w:val="en-US" w:eastAsia="en-US" w:bidi="ar-SA"/>
        </w:rPr>
        <w:t xml:space="preserve"> 6.78%</w:t>
      </w:r>
      <w:r>
        <w:rPr>
          <w:rFonts w:hint="eastAsia" w:ascii="仿宋_GB2312" w:hAnsi="仿宋_GB2312" w:eastAsia="仿宋_GB2312" w:cs="仿宋_GB2312"/>
          <w:kern w:val="2"/>
          <w:sz w:val="32"/>
          <w:szCs w:val="32"/>
          <w:highlight w:val="none"/>
          <w:lang w:val="en-US" w:eastAsia="zh-CN" w:bidi="ar-SA"/>
        </w:rPr>
        <w:t>，变动原因：燃料费增加。</w:t>
      </w:r>
    </w:p>
    <w:p w14:paraId="580F7ECE">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en-US" w:bidi="ar-SA"/>
        </w:rPr>
        <w:t>3.</w:t>
      </w:r>
      <w:r>
        <w:rPr>
          <w:rFonts w:hint="eastAsia" w:ascii="仿宋_GB2312" w:hAnsi="仿宋_GB2312" w:eastAsia="仿宋_GB2312" w:cs="仿宋_GB2312"/>
          <w:kern w:val="2"/>
          <w:sz w:val="32"/>
          <w:szCs w:val="32"/>
          <w:highlight w:val="none"/>
          <w:lang w:val="en-US" w:eastAsia="zh-CN" w:bidi="ar-SA"/>
        </w:rPr>
        <w:t>公务接待费支出</w:t>
      </w:r>
      <w:r>
        <w:rPr>
          <w:rFonts w:hint="eastAsia" w:ascii="仿宋_GB2312" w:hAnsi="仿宋_GB2312" w:eastAsia="仿宋_GB2312" w:cs="仿宋_GB2312"/>
          <w:kern w:val="2"/>
          <w:sz w:val="32"/>
          <w:szCs w:val="32"/>
          <w:highlight w:val="none"/>
          <w:lang w:val="en-US" w:eastAsia="en-US" w:bidi="ar-SA"/>
        </w:rPr>
        <w:t xml:space="preserve"> 1.54</w:t>
      </w:r>
      <w:r>
        <w:rPr>
          <w:rFonts w:hint="eastAsia" w:ascii="仿宋_GB2312" w:hAnsi="仿宋_GB2312" w:eastAsia="仿宋_GB2312" w:cs="仿宋_GB2312"/>
          <w:kern w:val="2"/>
          <w:sz w:val="32"/>
          <w:szCs w:val="32"/>
          <w:highlight w:val="none"/>
          <w:lang w:val="en-US" w:eastAsia="zh-CN" w:bidi="ar-SA"/>
        </w:rPr>
        <w:t>万元。其中：国内公务接待支出</w:t>
      </w:r>
      <w:r>
        <w:rPr>
          <w:rFonts w:hint="eastAsia" w:ascii="仿宋_GB2312" w:hAnsi="仿宋_GB2312" w:eastAsia="仿宋_GB2312" w:cs="仿宋_GB2312"/>
          <w:kern w:val="2"/>
          <w:sz w:val="32"/>
          <w:szCs w:val="32"/>
          <w:highlight w:val="none"/>
          <w:lang w:val="en-US" w:eastAsia="en-US" w:bidi="ar-SA"/>
        </w:rPr>
        <w:t xml:space="preserve"> 1.54</w:t>
      </w:r>
      <w:r>
        <w:rPr>
          <w:rFonts w:hint="eastAsia" w:ascii="仿宋_GB2312" w:hAnsi="仿宋_GB2312" w:eastAsia="仿宋_GB2312" w:cs="仿宋_GB2312"/>
          <w:kern w:val="2"/>
          <w:sz w:val="32"/>
          <w:szCs w:val="32"/>
          <w:highlight w:val="none"/>
          <w:lang w:val="en-US" w:eastAsia="zh-CN" w:bidi="ar-SA"/>
        </w:rPr>
        <w:t>万元，接待</w:t>
      </w:r>
      <w:r>
        <w:rPr>
          <w:rFonts w:hint="eastAsia" w:ascii="仿宋_GB2312" w:hAnsi="仿宋_GB2312" w:eastAsia="仿宋_GB2312" w:cs="仿宋_GB2312"/>
          <w:kern w:val="2"/>
          <w:sz w:val="32"/>
          <w:szCs w:val="32"/>
          <w:highlight w:val="none"/>
          <w:lang w:val="en-US" w:eastAsia="en-US" w:bidi="ar-SA"/>
        </w:rPr>
        <w:t xml:space="preserve">49 </w:t>
      </w:r>
      <w:r>
        <w:rPr>
          <w:rFonts w:hint="eastAsia" w:ascii="仿宋_GB2312" w:hAnsi="仿宋_GB2312" w:eastAsia="仿宋_GB2312" w:cs="仿宋_GB2312"/>
          <w:kern w:val="2"/>
          <w:sz w:val="32"/>
          <w:szCs w:val="32"/>
          <w:highlight w:val="none"/>
          <w:lang w:val="en-US" w:eastAsia="zh-CN" w:bidi="ar-SA"/>
        </w:rPr>
        <w:t>批次，</w:t>
      </w:r>
      <w:r>
        <w:rPr>
          <w:rFonts w:hint="eastAsia" w:ascii="仿宋_GB2312" w:hAnsi="仿宋_GB2312" w:eastAsia="仿宋_GB2312" w:cs="仿宋_GB2312"/>
          <w:kern w:val="2"/>
          <w:sz w:val="32"/>
          <w:szCs w:val="32"/>
          <w:highlight w:val="none"/>
          <w:lang w:val="en-US" w:eastAsia="en-US" w:bidi="ar-SA"/>
        </w:rPr>
        <w:t xml:space="preserve">228 </w:t>
      </w:r>
      <w:r>
        <w:rPr>
          <w:rFonts w:hint="eastAsia" w:ascii="仿宋_GB2312" w:hAnsi="仿宋_GB2312" w:eastAsia="仿宋_GB2312" w:cs="仿宋_GB2312"/>
          <w:kern w:val="2"/>
          <w:sz w:val="32"/>
          <w:szCs w:val="32"/>
          <w:highlight w:val="none"/>
          <w:lang w:val="en-US" w:eastAsia="zh-CN" w:bidi="ar-SA"/>
        </w:rPr>
        <w:t>人次，开支内容：接待工作检查必要开支；国（境）外公务接待支出</w:t>
      </w:r>
      <w:r>
        <w:rPr>
          <w:rFonts w:hint="eastAsia" w:ascii="仿宋_GB2312" w:hAnsi="仿宋_GB2312" w:eastAsia="仿宋_GB2312" w:cs="仿宋_GB2312"/>
          <w:kern w:val="2"/>
          <w:sz w:val="32"/>
          <w:szCs w:val="32"/>
          <w:highlight w:val="none"/>
          <w:lang w:val="en-US" w:eastAsia="en-US" w:bidi="ar-SA"/>
        </w:rPr>
        <w:t xml:space="preserve"> 0</w:t>
      </w:r>
      <w:r>
        <w:rPr>
          <w:rFonts w:hint="eastAsia" w:ascii="仿宋_GB2312" w:hAnsi="仿宋_GB2312" w:eastAsia="仿宋_GB2312" w:cs="仿宋_GB2312"/>
          <w:kern w:val="2"/>
          <w:sz w:val="32"/>
          <w:szCs w:val="32"/>
          <w:highlight w:val="none"/>
          <w:lang w:val="en-US" w:eastAsia="zh-CN" w:bidi="ar-SA"/>
        </w:rPr>
        <w:t>万元，接待</w:t>
      </w:r>
      <w:r>
        <w:rPr>
          <w:rFonts w:hint="eastAsia" w:ascii="仿宋_GB2312" w:hAnsi="仿宋_GB2312" w:eastAsia="仿宋_GB2312" w:cs="仿宋_GB2312"/>
          <w:kern w:val="2"/>
          <w:sz w:val="32"/>
          <w:szCs w:val="32"/>
          <w:highlight w:val="none"/>
          <w:lang w:val="en-US" w:eastAsia="en-US" w:bidi="ar-SA"/>
        </w:rPr>
        <w:t xml:space="preserve">0 </w:t>
      </w:r>
      <w:r>
        <w:rPr>
          <w:rFonts w:hint="eastAsia" w:ascii="仿宋_GB2312" w:hAnsi="仿宋_GB2312" w:eastAsia="仿宋_GB2312" w:cs="仿宋_GB2312"/>
          <w:kern w:val="2"/>
          <w:sz w:val="32"/>
          <w:szCs w:val="32"/>
          <w:highlight w:val="none"/>
          <w:lang w:val="en-US" w:eastAsia="zh-CN" w:bidi="ar-SA"/>
        </w:rPr>
        <w:t>批次，</w:t>
      </w:r>
      <w:r>
        <w:rPr>
          <w:rFonts w:hint="eastAsia" w:ascii="仿宋_GB2312" w:hAnsi="仿宋_GB2312" w:eastAsia="仿宋_GB2312" w:cs="仿宋_GB2312"/>
          <w:kern w:val="2"/>
          <w:sz w:val="32"/>
          <w:szCs w:val="32"/>
          <w:highlight w:val="none"/>
          <w:lang w:val="en-US" w:eastAsia="en-US" w:bidi="ar-SA"/>
        </w:rPr>
        <w:t xml:space="preserve">0 </w:t>
      </w:r>
      <w:r>
        <w:rPr>
          <w:rFonts w:hint="eastAsia" w:ascii="仿宋_GB2312" w:hAnsi="仿宋_GB2312" w:eastAsia="仿宋_GB2312" w:cs="仿宋_GB2312"/>
          <w:kern w:val="2"/>
          <w:sz w:val="32"/>
          <w:szCs w:val="32"/>
          <w:highlight w:val="none"/>
          <w:lang w:val="en-US" w:eastAsia="zh-CN" w:bidi="ar-SA"/>
        </w:rPr>
        <w:t>人次，开支内容：无。与上年决算相比，减少</w:t>
      </w:r>
      <w:r>
        <w:rPr>
          <w:rFonts w:hint="eastAsia" w:ascii="仿宋_GB2312" w:hAnsi="仿宋_GB2312" w:eastAsia="仿宋_GB2312" w:cs="仿宋_GB2312"/>
          <w:kern w:val="2"/>
          <w:sz w:val="32"/>
          <w:szCs w:val="32"/>
          <w:highlight w:val="none"/>
          <w:lang w:val="en-US" w:eastAsia="en-US" w:bidi="ar-SA"/>
        </w:rPr>
        <w:t>1.83</w:t>
      </w:r>
      <w:r>
        <w:rPr>
          <w:rFonts w:hint="eastAsia" w:ascii="仿宋_GB2312" w:hAnsi="仿宋_GB2312" w:eastAsia="仿宋_GB2312" w:cs="仿宋_GB2312"/>
          <w:kern w:val="2"/>
          <w:sz w:val="32"/>
          <w:szCs w:val="32"/>
          <w:highlight w:val="none"/>
          <w:lang w:val="en-US" w:eastAsia="zh-CN" w:bidi="ar-SA"/>
        </w:rPr>
        <w:t>万元，下降</w:t>
      </w:r>
      <w:r>
        <w:rPr>
          <w:rFonts w:hint="eastAsia" w:ascii="仿宋_GB2312" w:hAnsi="仿宋_GB2312" w:eastAsia="仿宋_GB2312" w:cs="仿宋_GB2312"/>
          <w:kern w:val="2"/>
          <w:sz w:val="32"/>
          <w:szCs w:val="32"/>
          <w:highlight w:val="none"/>
          <w:lang w:val="en-US" w:eastAsia="en-US" w:bidi="ar-SA"/>
        </w:rPr>
        <w:t>54.34%</w:t>
      </w:r>
      <w:r>
        <w:rPr>
          <w:rFonts w:hint="eastAsia" w:ascii="仿宋_GB2312" w:hAnsi="仿宋_GB2312" w:eastAsia="仿宋_GB2312" w:cs="仿宋_GB2312"/>
          <w:kern w:val="2"/>
          <w:sz w:val="32"/>
          <w:szCs w:val="32"/>
          <w:highlight w:val="none"/>
          <w:lang w:val="en-US" w:eastAsia="zh-CN" w:bidi="ar-SA"/>
        </w:rPr>
        <w:t>，变动原因：厉行节约。</w:t>
      </w:r>
    </w:p>
    <w:p w14:paraId="631DEBAF">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九、政府性基金预算财政拨款支出决算情况说明</w:t>
      </w:r>
    </w:p>
    <w:p w14:paraId="60853541">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巴彦淖尔市卫生健康委员会部门</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年度政府性基金预算财政拨款支出决算</w:t>
      </w:r>
      <w:r>
        <w:rPr>
          <w:rFonts w:hint="eastAsia" w:ascii="仿宋_GB2312" w:hAnsi="仿宋_GB2312" w:eastAsia="仿宋_GB2312" w:cs="仿宋_GB2312"/>
          <w:kern w:val="2"/>
          <w:sz w:val="32"/>
          <w:szCs w:val="32"/>
          <w:highlight w:val="none"/>
          <w:lang w:val="en-US" w:eastAsia="en-US" w:bidi="ar-SA"/>
        </w:rPr>
        <w:t xml:space="preserve"> 1706.00</w:t>
      </w:r>
      <w:r>
        <w:rPr>
          <w:rFonts w:hint="eastAsia" w:ascii="仿宋_GB2312" w:hAnsi="仿宋_GB2312" w:eastAsia="仿宋_GB2312" w:cs="仿宋_GB2312"/>
          <w:kern w:val="2"/>
          <w:sz w:val="32"/>
          <w:szCs w:val="32"/>
          <w:highlight w:val="none"/>
          <w:lang w:val="en-US" w:eastAsia="zh-CN" w:bidi="ar-SA"/>
        </w:rPr>
        <w:t>万元。与上年决算相比，增加</w:t>
      </w:r>
      <w:r>
        <w:rPr>
          <w:rFonts w:hint="eastAsia" w:ascii="仿宋_GB2312" w:hAnsi="仿宋_GB2312" w:eastAsia="仿宋_GB2312" w:cs="仿宋_GB2312"/>
          <w:kern w:val="2"/>
          <w:sz w:val="32"/>
          <w:szCs w:val="32"/>
          <w:highlight w:val="none"/>
          <w:lang w:val="en-US" w:eastAsia="en-US" w:bidi="ar-SA"/>
        </w:rPr>
        <w:t xml:space="preserve"> 1506.00</w:t>
      </w:r>
      <w:r>
        <w:rPr>
          <w:rFonts w:hint="eastAsia" w:ascii="仿宋_GB2312" w:hAnsi="仿宋_GB2312" w:eastAsia="仿宋_GB2312" w:cs="仿宋_GB2312"/>
          <w:kern w:val="2"/>
          <w:sz w:val="32"/>
          <w:szCs w:val="32"/>
          <w:highlight w:val="none"/>
          <w:lang w:val="en-US" w:eastAsia="zh-CN" w:bidi="ar-SA"/>
        </w:rPr>
        <w:t>万元，增长</w:t>
      </w:r>
      <w:r>
        <w:rPr>
          <w:rFonts w:hint="eastAsia" w:ascii="仿宋_GB2312" w:hAnsi="仿宋_GB2312" w:eastAsia="仿宋_GB2312" w:cs="仿宋_GB2312"/>
          <w:kern w:val="2"/>
          <w:sz w:val="32"/>
          <w:szCs w:val="32"/>
          <w:highlight w:val="none"/>
          <w:lang w:val="en-US" w:eastAsia="en-US" w:bidi="ar-SA"/>
        </w:rPr>
        <w:t>753.00%</w:t>
      </w:r>
      <w:r>
        <w:rPr>
          <w:rFonts w:hint="eastAsia" w:ascii="仿宋_GB2312" w:hAnsi="仿宋_GB2312" w:eastAsia="仿宋_GB2312" w:cs="仿宋_GB2312"/>
          <w:kern w:val="2"/>
          <w:sz w:val="32"/>
          <w:szCs w:val="32"/>
          <w:highlight w:val="none"/>
          <w:lang w:val="en-US" w:eastAsia="zh-CN" w:bidi="ar-SA"/>
        </w:rPr>
        <w:t>，变动原因：市妇幼保健计划生育服务中心建设项目增加。其中：</w:t>
      </w:r>
    </w:p>
    <w:p w14:paraId="0EB25E66">
      <w:pPr>
        <w:pStyle w:val="31"/>
        <w:keepNext w:val="0"/>
        <w:keepLines w:val="0"/>
        <w:pageBreakBefore w:val="0"/>
        <w:widowControl/>
        <w:kinsoku/>
        <w:wordWrap/>
        <w:overflowPunct/>
        <w:topLinePunct w:val="0"/>
        <w:autoSpaceDE/>
        <w:autoSpaceDN/>
        <w:bidi w:val="0"/>
        <w:spacing w:line="560" w:lineRule="exact"/>
        <w:ind w:firstLine="640"/>
        <w:jc w:val="both"/>
        <w:rPr>
          <w:rFonts w:hint="eastAsia" w:ascii="仿宋_GB2312" w:hAnsi="仿宋_GB2312" w:eastAsia="仿宋_GB2312" w:cs="仿宋_GB2312"/>
          <w:kern w:val="2"/>
          <w:sz w:val="32"/>
          <w:szCs w:val="32"/>
          <w:highlight w:val="none"/>
          <w:lang w:val="en-US" w:eastAsia="zh-CN" w:bidi="ar-SA"/>
        </w:rPr>
      </w:pPr>
      <w:r>
        <w:rPr>
          <w:rFonts w:hint="eastAsia" w:ascii="方正楷体_GB2312" w:hAnsi="方正楷体_GB2312" w:eastAsia="方正楷体_GB2312" w:cs="方正楷体_GB2312"/>
          <w:kern w:val="0"/>
          <w:sz w:val="32"/>
          <w:szCs w:val="32"/>
          <w:u w:val="none" w:color="auto"/>
          <w:lang w:val="en-US" w:eastAsia="zh-CN"/>
        </w:rPr>
        <w:t>（一）卫生健康支出（类）超长期特别国债安排的支出（款）其他卫生健康支出（项）支出1706万元。</w:t>
      </w:r>
      <w:r>
        <w:rPr>
          <w:rFonts w:hint="eastAsia" w:ascii="仿宋_GB2312" w:hAnsi="仿宋_GB2312" w:eastAsia="仿宋_GB2312" w:cs="仿宋_GB2312"/>
          <w:kern w:val="2"/>
          <w:sz w:val="32"/>
          <w:szCs w:val="32"/>
          <w:highlight w:val="none"/>
          <w:lang w:val="en-US" w:eastAsia="zh-CN" w:bidi="ar-SA"/>
        </w:rPr>
        <w:t>主要用于市妇幼保健计划生育服务中心建设项目。</w:t>
      </w:r>
    </w:p>
    <w:p w14:paraId="4317EB18">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十、国有资本经营预算财政拨款支出决算情况说明</w:t>
      </w:r>
    </w:p>
    <w:p w14:paraId="583E900E">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巴彦淖尔市卫生健康委员会部门2025年度国有资本经营预算财政拨款支出决算0万元。与上年决算相比，增加0万元，增长0%，变动原因：2024年度与2025年度无国有资本经营预算财政拨款支出。</w:t>
      </w:r>
    </w:p>
    <w:p w14:paraId="6E8EC4F4">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十一、机关运行经费（公用经费）支出决算情况说明</w:t>
      </w:r>
    </w:p>
    <w:p w14:paraId="54A5A04C">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巴彦淖尔市卫生健康委员会部门 </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年度公用经费支出决算</w:t>
      </w:r>
      <w:r>
        <w:rPr>
          <w:rFonts w:hint="eastAsia" w:ascii="仿宋_GB2312" w:hAnsi="仿宋_GB2312" w:eastAsia="仿宋_GB2312" w:cs="仿宋_GB2312"/>
          <w:kern w:val="2"/>
          <w:sz w:val="32"/>
          <w:szCs w:val="32"/>
          <w:highlight w:val="none"/>
          <w:lang w:val="en-US" w:eastAsia="en-US" w:bidi="ar-SA"/>
        </w:rPr>
        <w:t xml:space="preserve"> 49045.75</w:t>
      </w:r>
      <w:r>
        <w:rPr>
          <w:rFonts w:hint="eastAsia" w:ascii="仿宋_GB2312" w:hAnsi="仿宋_GB2312" w:eastAsia="仿宋_GB2312" w:cs="仿宋_GB2312"/>
          <w:kern w:val="2"/>
          <w:sz w:val="32"/>
          <w:szCs w:val="32"/>
          <w:highlight w:val="none"/>
          <w:lang w:val="en-US" w:eastAsia="zh-CN" w:bidi="ar-SA"/>
        </w:rPr>
        <w:t>万元，与上年决算相比，减少</w:t>
      </w:r>
      <w:r>
        <w:rPr>
          <w:rFonts w:hint="eastAsia" w:ascii="仿宋_GB2312" w:hAnsi="仿宋_GB2312" w:eastAsia="仿宋_GB2312" w:cs="仿宋_GB2312"/>
          <w:kern w:val="2"/>
          <w:sz w:val="32"/>
          <w:szCs w:val="32"/>
          <w:highlight w:val="none"/>
          <w:lang w:val="en-US" w:eastAsia="en-US" w:bidi="ar-SA"/>
        </w:rPr>
        <w:t>15436.39</w:t>
      </w:r>
      <w:r>
        <w:rPr>
          <w:rFonts w:hint="eastAsia" w:ascii="仿宋_GB2312" w:hAnsi="仿宋_GB2312" w:eastAsia="仿宋_GB2312" w:cs="仿宋_GB2312"/>
          <w:kern w:val="2"/>
          <w:sz w:val="32"/>
          <w:szCs w:val="32"/>
          <w:highlight w:val="none"/>
          <w:lang w:val="en-US" w:eastAsia="zh-CN" w:bidi="ar-SA"/>
        </w:rPr>
        <w:t>万元，下降</w:t>
      </w:r>
      <w:r>
        <w:rPr>
          <w:rFonts w:hint="eastAsia" w:ascii="仿宋_GB2312" w:hAnsi="仿宋_GB2312" w:eastAsia="仿宋_GB2312" w:cs="仿宋_GB2312"/>
          <w:kern w:val="2"/>
          <w:sz w:val="32"/>
          <w:szCs w:val="32"/>
          <w:highlight w:val="none"/>
          <w:lang w:val="en-US" w:eastAsia="en-US" w:bidi="ar-SA"/>
        </w:rPr>
        <w:t>23.94%</w:t>
      </w:r>
      <w:r>
        <w:rPr>
          <w:rFonts w:hint="eastAsia" w:ascii="仿宋_GB2312" w:hAnsi="仿宋_GB2312" w:eastAsia="仿宋_GB2312" w:cs="仿宋_GB2312"/>
          <w:kern w:val="2"/>
          <w:sz w:val="32"/>
          <w:szCs w:val="32"/>
          <w:highlight w:val="none"/>
          <w:lang w:val="en-US" w:eastAsia="zh-CN" w:bidi="ar-SA"/>
        </w:rPr>
        <w:t>，变动原因：厉行节约，减少浪费。其中，机关运行经费支出决算</w:t>
      </w:r>
      <w:r>
        <w:rPr>
          <w:rFonts w:hint="eastAsia" w:ascii="仿宋_GB2312" w:hAnsi="仿宋_GB2312" w:eastAsia="仿宋_GB2312" w:cs="仿宋_GB2312"/>
          <w:kern w:val="2"/>
          <w:sz w:val="32"/>
          <w:szCs w:val="32"/>
          <w:highlight w:val="none"/>
          <w:lang w:val="en-US" w:eastAsia="en-US" w:bidi="ar-SA"/>
        </w:rPr>
        <w:t xml:space="preserve"> 69.90</w:t>
      </w:r>
      <w:r>
        <w:rPr>
          <w:rFonts w:hint="eastAsia" w:ascii="仿宋_GB2312" w:hAnsi="仿宋_GB2312" w:eastAsia="仿宋_GB2312" w:cs="仿宋_GB2312"/>
          <w:kern w:val="2"/>
          <w:sz w:val="32"/>
          <w:szCs w:val="32"/>
          <w:highlight w:val="none"/>
          <w:lang w:val="en-US" w:eastAsia="zh-CN" w:bidi="ar-SA"/>
        </w:rPr>
        <w:t>万元。比上年决算相比，减少</w:t>
      </w:r>
      <w:r>
        <w:rPr>
          <w:rFonts w:hint="eastAsia" w:ascii="仿宋_GB2312" w:hAnsi="仿宋_GB2312" w:eastAsia="仿宋_GB2312" w:cs="仿宋_GB2312"/>
          <w:kern w:val="2"/>
          <w:sz w:val="32"/>
          <w:szCs w:val="32"/>
          <w:highlight w:val="none"/>
          <w:lang w:val="en-US" w:eastAsia="en-US" w:bidi="ar-SA"/>
        </w:rPr>
        <w:t>30.65</w:t>
      </w:r>
      <w:r>
        <w:rPr>
          <w:rFonts w:hint="eastAsia" w:ascii="仿宋_GB2312" w:hAnsi="仿宋_GB2312" w:eastAsia="仿宋_GB2312" w:cs="仿宋_GB2312"/>
          <w:kern w:val="2"/>
          <w:sz w:val="32"/>
          <w:szCs w:val="32"/>
          <w:highlight w:val="none"/>
          <w:lang w:val="en-US" w:eastAsia="zh-CN" w:bidi="ar-SA"/>
        </w:rPr>
        <w:t>万元，下降</w:t>
      </w:r>
      <w:r>
        <w:rPr>
          <w:rFonts w:hint="eastAsia" w:ascii="仿宋_GB2312" w:hAnsi="仿宋_GB2312" w:eastAsia="仿宋_GB2312" w:cs="仿宋_GB2312"/>
          <w:kern w:val="2"/>
          <w:sz w:val="32"/>
          <w:szCs w:val="32"/>
          <w:highlight w:val="none"/>
          <w:lang w:val="en-US" w:eastAsia="en-US" w:bidi="ar-SA"/>
        </w:rPr>
        <w:t>30.48%</w:t>
      </w:r>
      <w:r>
        <w:rPr>
          <w:rFonts w:hint="eastAsia" w:ascii="仿宋_GB2312" w:hAnsi="仿宋_GB2312" w:eastAsia="仿宋_GB2312" w:cs="仿宋_GB2312"/>
          <w:kern w:val="2"/>
          <w:sz w:val="32"/>
          <w:szCs w:val="32"/>
          <w:highlight w:val="none"/>
          <w:lang w:val="en-US" w:eastAsia="zh-CN" w:bidi="ar-SA"/>
        </w:rPr>
        <w:t>，变动原因：厉行节约，减少浪费。</w:t>
      </w:r>
    </w:p>
    <w:p w14:paraId="28D07CD0">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十二、政府采购支出决算情况说明</w:t>
      </w:r>
    </w:p>
    <w:p w14:paraId="6807D911">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巴彦淖尔市卫生健康委员会部门</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年度政府采购支出总额</w:t>
      </w:r>
      <w:r>
        <w:rPr>
          <w:rFonts w:hint="eastAsia" w:ascii="仿宋_GB2312" w:hAnsi="仿宋_GB2312" w:eastAsia="仿宋_GB2312" w:cs="仿宋_GB2312"/>
          <w:kern w:val="2"/>
          <w:sz w:val="32"/>
          <w:szCs w:val="32"/>
          <w:highlight w:val="none"/>
          <w:lang w:val="en-US" w:eastAsia="en-US" w:bidi="ar-SA"/>
        </w:rPr>
        <w:t xml:space="preserve"> 8691.46</w:t>
      </w:r>
      <w:r>
        <w:rPr>
          <w:rFonts w:hint="eastAsia" w:ascii="仿宋_GB2312" w:hAnsi="仿宋_GB2312" w:eastAsia="仿宋_GB2312" w:cs="仿宋_GB2312"/>
          <w:kern w:val="2"/>
          <w:sz w:val="32"/>
          <w:szCs w:val="32"/>
          <w:highlight w:val="none"/>
          <w:lang w:val="en-US" w:eastAsia="zh-CN" w:bidi="ar-SA"/>
        </w:rPr>
        <w:t>万元，其中：政府采购货物支出</w:t>
      </w:r>
      <w:r>
        <w:rPr>
          <w:rFonts w:hint="eastAsia" w:ascii="仿宋_GB2312" w:hAnsi="仿宋_GB2312" w:eastAsia="仿宋_GB2312" w:cs="仿宋_GB2312"/>
          <w:kern w:val="2"/>
          <w:sz w:val="32"/>
          <w:szCs w:val="32"/>
          <w:highlight w:val="none"/>
          <w:lang w:val="en-US" w:eastAsia="en-US" w:bidi="ar-SA"/>
        </w:rPr>
        <w:t xml:space="preserve"> 4693.37</w:t>
      </w:r>
      <w:r>
        <w:rPr>
          <w:rFonts w:hint="eastAsia" w:ascii="仿宋_GB2312" w:hAnsi="仿宋_GB2312" w:eastAsia="仿宋_GB2312" w:cs="仿宋_GB2312"/>
          <w:kern w:val="2"/>
          <w:sz w:val="32"/>
          <w:szCs w:val="32"/>
          <w:highlight w:val="none"/>
          <w:lang w:val="en-US" w:eastAsia="zh-CN" w:bidi="ar-SA"/>
        </w:rPr>
        <w:t>万元、政府采购工程支出</w:t>
      </w:r>
      <w:r>
        <w:rPr>
          <w:rFonts w:hint="eastAsia" w:ascii="仿宋_GB2312" w:hAnsi="仿宋_GB2312" w:eastAsia="仿宋_GB2312" w:cs="仿宋_GB2312"/>
          <w:kern w:val="2"/>
          <w:sz w:val="32"/>
          <w:szCs w:val="32"/>
          <w:highlight w:val="none"/>
          <w:lang w:val="en-US" w:eastAsia="en-US" w:bidi="ar-SA"/>
        </w:rPr>
        <w:t xml:space="preserve"> 10.38</w:t>
      </w:r>
      <w:r>
        <w:rPr>
          <w:rFonts w:hint="eastAsia" w:ascii="仿宋_GB2312" w:hAnsi="仿宋_GB2312" w:eastAsia="仿宋_GB2312" w:cs="仿宋_GB2312"/>
          <w:kern w:val="2"/>
          <w:sz w:val="32"/>
          <w:szCs w:val="32"/>
          <w:highlight w:val="none"/>
          <w:lang w:val="en-US" w:eastAsia="zh-CN" w:bidi="ar-SA"/>
        </w:rPr>
        <w:t>万元、政府采购服务支出</w:t>
      </w:r>
      <w:r>
        <w:rPr>
          <w:rFonts w:hint="eastAsia" w:ascii="仿宋_GB2312" w:hAnsi="仿宋_GB2312" w:eastAsia="仿宋_GB2312" w:cs="仿宋_GB2312"/>
          <w:kern w:val="2"/>
          <w:sz w:val="32"/>
          <w:szCs w:val="32"/>
          <w:highlight w:val="none"/>
          <w:lang w:val="en-US" w:eastAsia="en-US" w:bidi="ar-SA"/>
        </w:rPr>
        <w:t xml:space="preserve"> 3987.72</w:t>
      </w:r>
      <w:r>
        <w:rPr>
          <w:rFonts w:hint="eastAsia" w:ascii="仿宋_GB2312" w:hAnsi="仿宋_GB2312" w:eastAsia="仿宋_GB2312" w:cs="仿宋_GB2312"/>
          <w:kern w:val="2"/>
          <w:sz w:val="32"/>
          <w:szCs w:val="32"/>
          <w:highlight w:val="none"/>
          <w:lang w:val="en-US" w:eastAsia="zh-CN" w:bidi="ar-SA"/>
        </w:rPr>
        <w:t>万元。政府采购授予中小企业合同金额</w:t>
      </w:r>
      <w:r>
        <w:rPr>
          <w:rFonts w:hint="eastAsia" w:ascii="仿宋_GB2312" w:hAnsi="仿宋_GB2312" w:eastAsia="仿宋_GB2312" w:cs="仿宋_GB2312"/>
          <w:kern w:val="2"/>
          <w:sz w:val="32"/>
          <w:szCs w:val="32"/>
          <w:highlight w:val="none"/>
          <w:lang w:val="en-US" w:eastAsia="en-US" w:bidi="ar-SA"/>
        </w:rPr>
        <w:t xml:space="preserve"> 7975.76</w:t>
      </w:r>
      <w:r>
        <w:rPr>
          <w:rFonts w:hint="eastAsia" w:ascii="仿宋_GB2312" w:hAnsi="仿宋_GB2312" w:eastAsia="仿宋_GB2312" w:cs="仿宋_GB2312"/>
          <w:kern w:val="2"/>
          <w:sz w:val="32"/>
          <w:szCs w:val="32"/>
          <w:highlight w:val="none"/>
          <w:lang w:val="en-US" w:eastAsia="zh-CN" w:bidi="ar-SA"/>
        </w:rPr>
        <w:t>万元，占政府采购支出总额的91.77</w:t>
      </w:r>
      <w:r>
        <w:rPr>
          <w:rFonts w:hint="eastAsia" w:ascii="仿宋_GB2312" w:hAnsi="仿宋_GB2312" w:eastAsia="仿宋_GB2312" w:cs="仿宋_GB2312"/>
          <w:kern w:val="2"/>
          <w:sz w:val="32"/>
          <w:szCs w:val="32"/>
          <w:highlight w:val="none"/>
          <w:lang w:val="en-US" w:eastAsia="en-US" w:bidi="ar-SA"/>
        </w:rPr>
        <w:t>%</w:t>
      </w:r>
      <w:r>
        <w:rPr>
          <w:rFonts w:hint="eastAsia" w:ascii="仿宋_GB2312" w:hAnsi="仿宋_GB2312" w:eastAsia="仿宋_GB2312" w:cs="仿宋_GB2312"/>
          <w:kern w:val="2"/>
          <w:sz w:val="32"/>
          <w:szCs w:val="32"/>
          <w:highlight w:val="none"/>
          <w:lang w:val="en-US" w:eastAsia="zh-CN" w:bidi="ar-SA"/>
        </w:rPr>
        <w:t>，其中：授予小微企业合同金额</w:t>
      </w:r>
      <w:r>
        <w:rPr>
          <w:rFonts w:hint="eastAsia" w:ascii="仿宋_GB2312" w:hAnsi="仿宋_GB2312" w:eastAsia="仿宋_GB2312" w:cs="仿宋_GB2312"/>
          <w:kern w:val="2"/>
          <w:sz w:val="32"/>
          <w:szCs w:val="32"/>
          <w:highlight w:val="none"/>
          <w:lang w:val="en-US" w:eastAsia="en-US" w:bidi="ar-SA"/>
        </w:rPr>
        <w:t xml:space="preserve"> 6836.43</w:t>
      </w:r>
      <w:r>
        <w:rPr>
          <w:rFonts w:hint="eastAsia" w:ascii="仿宋_GB2312" w:hAnsi="仿宋_GB2312" w:eastAsia="仿宋_GB2312" w:cs="仿宋_GB2312"/>
          <w:kern w:val="2"/>
          <w:sz w:val="32"/>
          <w:szCs w:val="32"/>
          <w:highlight w:val="none"/>
          <w:lang w:val="en-US" w:eastAsia="zh-CN" w:bidi="ar-SA"/>
        </w:rPr>
        <w:t>万元。</w:t>
      </w:r>
    </w:p>
    <w:p w14:paraId="2819240C">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十三、国有资产占用情况说明</w:t>
      </w:r>
    </w:p>
    <w:p w14:paraId="59CA64E1">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巴彦淖尔市卫生健康委员会部门截至</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w:t>
      </w:r>
      <w:r>
        <w:rPr>
          <w:rFonts w:hint="eastAsia" w:ascii="仿宋_GB2312" w:hAnsi="仿宋_GB2312" w:eastAsia="仿宋_GB2312" w:cs="仿宋_GB2312"/>
          <w:kern w:val="2"/>
          <w:sz w:val="32"/>
          <w:szCs w:val="32"/>
          <w:highlight w:val="none"/>
          <w:lang w:val="en-US" w:eastAsia="en-US" w:bidi="ar-SA"/>
        </w:rPr>
        <w:t>12</w:t>
      </w:r>
      <w:r>
        <w:rPr>
          <w:rFonts w:hint="eastAsia" w:ascii="仿宋_GB2312" w:hAnsi="仿宋_GB2312" w:eastAsia="仿宋_GB2312" w:cs="仿宋_GB2312"/>
          <w:kern w:val="2"/>
          <w:sz w:val="32"/>
          <w:szCs w:val="32"/>
          <w:highlight w:val="none"/>
          <w:lang w:val="en-US" w:eastAsia="zh-CN" w:bidi="ar-SA"/>
        </w:rPr>
        <w:t>月</w:t>
      </w:r>
      <w:r>
        <w:rPr>
          <w:rFonts w:hint="eastAsia" w:ascii="仿宋_GB2312" w:hAnsi="仿宋_GB2312" w:eastAsia="仿宋_GB2312" w:cs="仿宋_GB2312"/>
          <w:kern w:val="2"/>
          <w:sz w:val="32"/>
          <w:szCs w:val="32"/>
          <w:highlight w:val="none"/>
          <w:lang w:val="en-US" w:eastAsia="en-US" w:bidi="ar-SA"/>
        </w:rPr>
        <w:t>31</w:t>
      </w:r>
      <w:r>
        <w:rPr>
          <w:rFonts w:hint="eastAsia" w:ascii="仿宋_GB2312" w:hAnsi="仿宋_GB2312" w:eastAsia="仿宋_GB2312" w:cs="仿宋_GB2312"/>
          <w:kern w:val="2"/>
          <w:sz w:val="32"/>
          <w:szCs w:val="32"/>
          <w:highlight w:val="none"/>
          <w:lang w:val="en-US" w:eastAsia="zh-CN" w:bidi="ar-SA"/>
        </w:rPr>
        <w:t>日，本部门共有车辆</w:t>
      </w:r>
      <w:r>
        <w:rPr>
          <w:rFonts w:hint="eastAsia" w:ascii="仿宋_GB2312" w:hAnsi="仿宋_GB2312" w:eastAsia="仿宋_GB2312" w:cs="仿宋_GB2312"/>
          <w:kern w:val="2"/>
          <w:sz w:val="32"/>
          <w:szCs w:val="32"/>
          <w:highlight w:val="none"/>
          <w:lang w:val="en-US" w:eastAsia="en-US" w:bidi="ar-SA"/>
        </w:rPr>
        <w:t xml:space="preserve">69 </w:t>
      </w:r>
      <w:r>
        <w:rPr>
          <w:rFonts w:hint="eastAsia" w:ascii="仿宋_GB2312" w:hAnsi="仿宋_GB2312" w:eastAsia="仿宋_GB2312" w:cs="仿宋_GB2312"/>
          <w:kern w:val="2"/>
          <w:sz w:val="32"/>
          <w:szCs w:val="32"/>
          <w:highlight w:val="none"/>
          <w:lang w:val="en-US" w:eastAsia="zh-CN" w:bidi="ar-SA"/>
        </w:rPr>
        <w:t>辆，其中：副部（省）级及以上领导用车</w:t>
      </w:r>
      <w:r>
        <w:rPr>
          <w:rFonts w:hint="eastAsia" w:ascii="仿宋_GB2312" w:hAnsi="仿宋_GB2312" w:eastAsia="仿宋_GB2312" w:cs="仿宋_GB2312"/>
          <w:kern w:val="2"/>
          <w:sz w:val="32"/>
          <w:szCs w:val="32"/>
          <w:highlight w:val="none"/>
          <w:lang w:val="en-US" w:eastAsia="en-US" w:bidi="ar-SA"/>
        </w:rPr>
        <w:t xml:space="preserve">0 </w:t>
      </w:r>
      <w:r>
        <w:rPr>
          <w:rFonts w:hint="eastAsia" w:ascii="仿宋_GB2312" w:hAnsi="仿宋_GB2312" w:eastAsia="仿宋_GB2312" w:cs="仿宋_GB2312"/>
          <w:kern w:val="2"/>
          <w:sz w:val="32"/>
          <w:szCs w:val="32"/>
          <w:highlight w:val="none"/>
          <w:lang w:val="en-US" w:eastAsia="zh-CN" w:bidi="ar-SA"/>
        </w:rPr>
        <w:t>辆、主要负责人用车</w:t>
      </w:r>
      <w:r>
        <w:rPr>
          <w:rFonts w:hint="eastAsia" w:ascii="仿宋_GB2312" w:hAnsi="仿宋_GB2312" w:eastAsia="仿宋_GB2312" w:cs="仿宋_GB2312"/>
          <w:kern w:val="2"/>
          <w:sz w:val="32"/>
          <w:szCs w:val="32"/>
          <w:highlight w:val="none"/>
          <w:lang w:val="en-US" w:eastAsia="en-US" w:bidi="ar-SA"/>
        </w:rPr>
        <w:t xml:space="preserve">0 </w:t>
      </w:r>
      <w:r>
        <w:rPr>
          <w:rFonts w:hint="eastAsia" w:ascii="仿宋_GB2312" w:hAnsi="仿宋_GB2312" w:eastAsia="仿宋_GB2312" w:cs="仿宋_GB2312"/>
          <w:kern w:val="2"/>
          <w:sz w:val="32"/>
          <w:szCs w:val="32"/>
          <w:highlight w:val="none"/>
          <w:lang w:val="en-US" w:eastAsia="zh-CN" w:bidi="ar-SA"/>
        </w:rPr>
        <w:t>辆、机要通信用车</w:t>
      </w:r>
      <w:r>
        <w:rPr>
          <w:rFonts w:hint="eastAsia" w:ascii="仿宋_GB2312" w:hAnsi="仿宋_GB2312" w:eastAsia="仿宋_GB2312" w:cs="仿宋_GB2312"/>
          <w:kern w:val="2"/>
          <w:sz w:val="32"/>
          <w:szCs w:val="32"/>
          <w:highlight w:val="none"/>
          <w:lang w:val="en-US" w:eastAsia="en-US" w:bidi="ar-SA"/>
        </w:rPr>
        <w:t xml:space="preserve">0 </w:t>
      </w:r>
      <w:r>
        <w:rPr>
          <w:rFonts w:hint="eastAsia" w:ascii="仿宋_GB2312" w:hAnsi="仿宋_GB2312" w:eastAsia="仿宋_GB2312" w:cs="仿宋_GB2312"/>
          <w:kern w:val="2"/>
          <w:sz w:val="32"/>
          <w:szCs w:val="32"/>
          <w:highlight w:val="none"/>
          <w:lang w:val="en-US" w:eastAsia="zh-CN" w:bidi="ar-SA"/>
        </w:rPr>
        <w:t>辆、应急保障用车</w:t>
      </w:r>
      <w:r>
        <w:rPr>
          <w:rFonts w:hint="eastAsia" w:ascii="仿宋_GB2312" w:hAnsi="仿宋_GB2312" w:eastAsia="仿宋_GB2312" w:cs="仿宋_GB2312"/>
          <w:kern w:val="2"/>
          <w:sz w:val="32"/>
          <w:szCs w:val="32"/>
          <w:highlight w:val="none"/>
          <w:lang w:val="en-US" w:eastAsia="en-US" w:bidi="ar-SA"/>
        </w:rPr>
        <w:t xml:space="preserve">21 </w:t>
      </w:r>
      <w:r>
        <w:rPr>
          <w:rFonts w:hint="eastAsia" w:ascii="仿宋_GB2312" w:hAnsi="仿宋_GB2312" w:eastAsia="仿宋_GB2312" w:cs="仿宋_GB2312"/>
          <w:kern w:val="2"/>
          <w:sz w:val="32"/>
          <w:szCs w:val="32"/>
          <w:highlight w:val="none"/>
          <w:lang w:val="en-US" w:eastAsia="zh-CN" w:bidi="ar-SA"/>
        </w:rPr>
        <w:t>辆、执法执勤用车</w:t>
      </w:r>
      <w:r>
        <w:rPr>
          <w:rFonts w:hint="eastAsia" w:ascii="仿宋_GB2312" w:hAnsi="仿宋_GB2312" w:eastAsia="仿宋_GB2312" w:cs="仿宋_GB2312"/>
          <w:kern w:val="2"/>
          <w:sz w:val="32"/>
          <w:szCs w:val="32"/>
          <w:highlight w:val="none"/>
          <w:lang w:val="en-US" w:eastAsia="en-US" w:bidi="ar-SA"/>
        </w:rPr>
        <w:t xml:space="preserve">1 </w:t>
      </w:r>
      <w:r>
        <w:rPr>
          <w:rFonts w:hint="eastAsia" w:ascii="仿宋_GB2312" w:hAnsi="仿宋_GB2312" w:eastAsia="仿宋_GB2312" w:cs="仿宋_GB2312"/>
          <w:kern w:val="2"/>
          <w:sz w:val="32"/>
          <w:szCs w:val="32"/>
          <w:highlight w:val="none"/>
          <w:lang w:val="en-US" w:eastAsia="zh-CN" w:bidi="ar-SA"/>
        </w:rPr>
        <w:t>辆、特种专业技术用车</w:t>
      </w:r>
      <w:r>
        <w:rPr>
          <w:rFonts w:hint="eastAsia" w:ascii="仿宋_GB2312" w:hAnsi="仿宋_GB2312" w:eastAsia="仿宋_GB2312" w:cs="仿宋_GB2312"/>
          <w:kern w:val="2"/>
          <w:sz w:val="32"/>
          <w:szCs w:val="32"/>
          <w:highlight w:val="none"/>
          <w:lang w:val="en-US" w:eastAsia="en-US" w:bidi="ar-SA"/>
        </w:rPr>
        <w:t xml:space="preserve">8 </w:t>
      </w:r>
      <w:r>
        <w:rPr>
          <w:rFonts w:hint="eastAsia" w:ascii="仿宋_GB2312" w:hAnsi="仿宋_GB2312" w:eastAsia="仿宋_GB2312" w:cs="仿宋_GB2312"/>
          <w:kern w:val="2"/>
          <w:sz w:val="32"/>
          <w:szCs w:val="32"/>
          <w:highlight w:val="none"/>
          <w:lang w:val="en-US" w:eastAsia="zh-CN" w:bidi="ar-SA"/>
        </w:rPr>
        <w:t>辆、离退休干部服务用车</w:t>
      </w:r>
      <w:r>
        <w:rPr>
          <w:rFonts w:hint="eastAsia" w:ascii="仿宋_GB2312" w:hAnsi="仿宋_GB2312" w:eastAsia="仿宋_GB2312" w:cs="仿宋_GB2312"/>
          <w:kern w:val="2"/>
          <w:sz w:val="32"/>
          <w:szCs w:val="32"/>
          <w:highlight w:val="none"/>
          <w:lang w:val="en-US" w:eastAsia="en-US" w:bidi="ar-SA"/>
        </w:rPr>
        <w:t xml:space="preserve">0 </w:t>
      </w:r>
      <w:r>
        <w:rPr>
          <w:rFonts w:hint="eastAsia" w:ascii="仿宋_GB2312" w:hAnsi="仿宋_GB2312" w:eastAsia="仿宋_GB2312" w:cs="仿宋_GB2312"/>
          <w:kern w:val="2"/>
          <w:sz w:val="32"/>
          <w:szCs w:val="32"/>
          <w:highlight w:val="none"/>
          <w:lang w:val="en-US" w:eastAsia="zh-CN" w:bidi="ar-SA"/>
        </w:rPr>
        <w:t>辆、其他用车</w:t>
      </w:r>
      <w:r>
        <w:rPr>
          <w:rFonts w:hint="eastAsia" w:ascii="仿宋_GB2312" w:hAnsi="仿宋_GB2312" w:eastAsia="仿宋_GB2312" w:cs="仿宋_GB2312"/>
          <w:kern w:val="2"/>
          <w:sz w:val="32"/>
          <w:szCs w:val="32"/>
          <w:highlight w:val="none"/>
          <w:lang w:val="en-US" w:eastAsia="en-US" w:bidi="ar-SA"/>
        </w:rPr>
        <w:t xml:space="preserve">39 </w:t>
      </w:r>
      <w:r>
        <w:rPr>
          <w:rFonts w:hint="eastAsia" w:ascii="仿宋_GB2312" w:hAnsi="仿宋_GB2312" w:eastAsia="仿宋_GB2312" w:cs="仿宋_GB2312"/>
          <w:kern w:val="2"/>
          <w:sz w:val="32"/>
          <w:szCs w:val="32"/>
          <w:highlight w:val="none"/>
          <w:lang w:val="en-US" w:eastAsia="zh-CN" w:bidi="ar-SA"/>
        </w:rPr>
        <w:t>辆；单价</w:t>
      </w:r>
      <w:r>
        <w:rPr>
          <w:rFonts w:hint="eastAsia" w:ascii="仿宋_GB2312" w:hAnsi="仿宋_GB2312" w:eastAsia="仿宋_GB2312" w:cs="仿宋_GB2312"/>
          <w:kern w:val="2"/>
          <w:sz w:val="32"/>
          <w:szCs w:val="32"/>
          <w:highlight w:val="none"/>
          <w:lang w:val="en-US" w:eastAsia="en-US" w:bidi="ar-SA"/>
        </w:rPr>
        <w:t>100</w:t>
      </w:r>
      <w:r>
        <w:rPr>
          <w:rFonts w:hint="eastAsia" w:ascii="仿宋_GB2312" w:hAnsi="仿宋_GB2312" w:eastAsia="仿宋_GB2312" w:cs="仿宋_GB2312"/>
          <w:kern w:val="2"/>
          <w:sz w:val="32"/>
          <w:szCs w:val="32"/>
          <w:highlight w:val="none"/>
          <w:lang w:val="en-US" w:eastAsia="zh-CN" w:bidi="ar-SA"/>
        </w:rPr>
        <w:t>万元（含）以上设备（不含车辆）</w:t>
      </w:r>
      <w:r>
        <w:rPr>
          <w:rFonts w:hint="eastAsia" w:ascii="仿宋_GB2312" w:hAnsi="仿宋_GB2312" w:eastAsia="仿宋_GB2312" w:cs="仿宋_GB2312"/>
          <w:kern w:val="2"/>
          <w:sz w:val="32"/>
          <w:szCs w:val="32"/>
          <w:highlight w:val="none"/>
          <w:lang w:val="en-US" w:eastAsia="en-US" w:bidi="ar-SA"/>
        </w:rPr>
        <w:t xml:space="preserve">202 </w:t>
      </w:r>
      <w:r>
        <w:rPr>
          <w:rFonts w:hint="eastAsia" w:ascii="仿宋_GB2312" w:hAnsi="仿宋_GB2312" w:eastAsia="仿宋_GB2312" w:cs="仿宋_GB2312"/>
          <w:kern w:val="2"/>
          <w:sz w:val="32"/>
          <w:szCs w:val="32"/>
          <w:highlight w:val="none"/>
          <w:lang w:val="en-US" w:eastAsia="zh-CN" w:bidi="ar-SA"/>
        </w:rPr>
        <w:t>台（套）。</w:t>
      </w:r>
    </w:p>
    <w:p w14:paraId="364849C3">
      <w:pPr>
        <w:pStyle w:val="31"/>
        <w:keepNext w:val="0"/>
        <w:keepLines w:val="0"/>
        <w:pageBreakBefore w:val="0"/>
        <w:widowControl/>
        <w:kinsoku/>
        <w:wordWrap/>
        <w:overflowPunct/>
        <w:topLinePunct w:val="0"/>
        <w:autoSpaceDE/>
        <w:autoSpaceDN/>
        <w:bidi w:val="0"/>
        <w:spacing w:line="560" w:lineRule="exact"/>
        <w:ind w:firstLine="643"/>
        <w:jc w:val="both"/>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十四、预算绩效情况说明</w:t>
      </w:r>
    </w:p>
    <w:p w14:paraId="40764BA3">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（一）预算绩效管理工作开展情况。</w:t>
      </w:r>
    </w:p>
    <w:p w14:paraId="3596AF6C">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巴彦淖尔市卫生健康委员会部门根据预算绩效管理要求组织对</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年一般公共预算项目支出全面开展绩效自评，共涉及项目32个，资金</w:t>
      </w:r>
      <w:r>
        <w:rPr>
          <w:rFonts w:hint="eastAsia" w:ascii="仿宋_GB2312" w:hAnsi="仿宋_GB2312" w:eastAsia="仿宋_GB2312" w:cs="仿宋_GB2312"/>
          <w:kern w:val="2"/>
          <w:sz w:val="32"/>
          <w:szCs w:val="32"/>
          <w:highlight w:val="none"/>
          <w:lang w:val="en-US" w:eastAsia="en-US" w:bidi="ar-SA"/>
        </w:rPr>
        <w:t xml:space="preserve"> 16651.27</w:t>
      </w:r>
      <w:r>
        <w:rPr>
          <w:rFonts w:hint="eastAsia" w:ascii="仿宋_GB2312" w:hAnsi="仿宋_GB2312" w:eastAsia="仿宋_GB2312" w:cs="仿宋_GB2312"/>
          <w:kern w:val="2"/>
          <w:sz w:val="32"/>
          <w:szCs w:val="32"/>
          <w:highlight w:val="none"/>
          <w:lang w:val="en-US" w:eastAsia="zh-CN" w:bidi="ar-SA"/>
        </w:rPr>
        <w:t>万元，占一般公共预算项目支出总额的</w:t>
      </w:r>
      <w:r>
        <w:rPr>
          <w:rFonts w:hint="eastAsia" w:ascii="仿宋_GB2312" w:hAnsi="仿宋_GB2312" w:eastAsia="仿宋_GB2312" w:cs="仿宋_GB2312"/>
          <w:kern w:val="2"/>
          <w:sz w:val="32"/>
          <w:szCs w:val="32"/>
          <w:highlight w:val="none"/>
          <w:lang w:val="en-US" w:eastAsia="en-US" w:bidi="ar-SA"/>
        </w:rPr>
        <w:t>100%</w:t>
      </w:r>
      <w:r>
        <w:rPr>
          <w:rFonts w:hint="eastAsia" w:ascii="仿宋_GB2312" w:hAnsi="仿宋_GB2312" w:eastAsia="仿宋_GB2312" w:cs="仿宋_GB2312"/>
          <w:kern w:val="2"/>
          <w:sz w:val="32"/>
          <w:szCs w:val="32"/>
          <w:highlight w:val="none"/>
          <w:lang w:val="en-US" w:eastAsia="zh-CN" w:bidi="ar-SA"/>
        </w:rPr>
        <w:t>；政府性基金预算项目1个，共涉及资金</w:t>
      </w:r>
      <w:r>
        <w:rPr>
          <w:rFonts w:hint="eastAsia" w:ascii="仿宋_GB2312" w:hAnsi="仿宋_GB2312" w:eastAsia="仿宋_GB2312" w:cs="仿宋_GB2312"/>
          <w:kern w:val="2"/>
          <w:sz w:val="32"/>
          <w:szCs w:val="32"/>
          <w:highlight w:val="none"/>
          <w:lang w:val="en-US" w:eastAsia="en-US" w:bidi="ar-SA"/>
        </w:rPr>
        <w:t xml:space="preserve"> 1706</w:t>
      </w:r>
      <w:r>
        <w:rPr>
          <w:rFonts w:hint="eastAsia" w:ascii="仿宋_GB2312" w:hAnsi="仿宋_GB2312" w:eastAsia="仿宋_GB2312" w:cs="仿宋_GB2312"/>
          <w:kern w:val="2"/>
          <w:sz w:val="32"/>
          <w:szCs w:val="32"/>
          <w:highlight w:val="none"/>
          <w:lang w:val="en-US" w:eastAsia="zh-CN" w:bidi="ar-SA"/>
        </w:rPr>
        <w:t>万元，占政府性基金预算项目支出总额的</w:t>
      </w:r>
      <w:r>
        <w:rPr>
          <w:rFonts w:hint="eastAsia" w:ascii="仿宋_GB2312" w:hAnsi="仿宋_GB2312" w:eastAsia="仿宋_GB2312" w:cs="仿宋_GB2312"/>
          <w:kern w:val="2"/>
          <w:sz w:val="32"/>
          <w:szCs w:val="32"/>
          <w:highlight w:val="none"/>
          <w:lang w:val="en-US" w:eastAsia="en-US" w:bidi="ar-SA"/>
        </w:rPr>
        <w:t>100%</w:t>
      </w:r>
      <w:r>
        <w:rPr>
          <w:rFonts w:hint="eastAsia" w:ascii="仿宋_GB2312" w:hAnsi="仿宋_GB2312" w:eastAsia="仿宋_GB2312" w:cs="仿宋_GB2312"/>
          <w:kern w:val="2"/>
          <w:sz w:val="32"/>
          <w:szCs w:val="32"/>
          <w:highlight w:val="none"/>
          <w:lang w:val="en-US" w:eastAsia="zh-CN" w:bidi="ar-SA"/>
        </w:rPr>
        <w:t>；</w:t>
      </w:r>
    </w:p>
    <w:p w14:paraId="7807D0BD">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组织对组织对“卫生健康事业费项目”、“卫生专业技术考试经费项目”、“市保健委经费项目”等32个项目开展了部门评价，涉及一般公共预算支出16651.27万元，政府性基金支出1706万元。从评价情况看，从评价情况来看，以上项目绩效指标设定分为产出指标、效益指标和满意度指标三类，产出指标主要包括数量指标、质量指标、时效指标、成本指标；效益指标主要包括经济效益指标、社会效益指标和可持续影响指标；满意度指标主要包括服务对象满意度指标。其中产出指标50分，效益指标30分，满意度指标10分，执行率10分，共计100分。</w:t>
      </w:r>
    </w:p>
    <w:p w14:paraId="009FC76D">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（二）部门决算中项目绩效自评结果。</w:t>
      </w:r>
    </w:p>
    <w:p w14:paraId="128ABFDD">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巴彦淖尔市卫生健康委员会部门</w:t>
      </w:r>
      <w:r>
        <w:rPr>
          <w:rFonts w:hint="eastAsia" w:ascii="仿宋_GB2312" w:hAnsi="仿宋_GB2312" w:eastAsia="仿宋_GB2312" w:cs="仿宋_GB2312"/>
          <w:kern w:val="2"/>
          <w:sz w:val="32"/>
          <w:szCs w:val="32"/>
          <w:highlight w:val="none"/>
          <w:lang w:val="en-US" w:eastAsia="en-US" w:bidi="ar-SA"/>
        </w:rPr>
        <w:t>2025</w:t>
      </w:r>
      <w:r>
        <w:rPr>
          <w:rFonts w:hint="eastAsia" w:ascii="仿宋_GB2312" w:hAnsi="仿宋_GB2312" w:eastAsia="仿宋_GB2312" w:cs="仿宋_GB2312"/>
          <w:kern w:val="2"/>
          <w:sz w:val="32"/>
          <w:szCs w:val="32"/>
          <w:highlight w:val="none"/>
          <w:lang w:val="en-US" w:eastAsia="zh-CN" w:bidi="ar-SA"/>
        </w:rPr>
        <w:t>年度在决算中反映32个一般公共预算项目，以及1个政府性基金项目，共33个项目的绩效自评结果。</w:t>
      </w:r>
    </w:p>
    <w:p w14:paraId="0D5C8FC2">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1.市保健委经费项目自评综述：根据年初设定的绩效目标，项目自评得分100分。全年预算数为64.59万元，执行数为64.59万元，完成预算的100%。项目绩效目标完成情况：245名保健干部完成健康体检，联系厅级保健干部市外就诊，为厅级保健干部配备保健药品，圆满完成重大活动、重要会议、重要来宾医疗保障工作。</w:t>
      </w:r>
    </w:p>
    <w:p w14:paraId="2D5FC1FB">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2.卫生健康事业费项目自评综述：根据年初设定的绩效目标，项目自评得分100分。全年预算数为54.97万元，执行数为54.97万元，完成预算的100%。项目绩效目标完成情况：开展生育全程医疗保健服务，全面落实计划生育奖励、特别扶助等政策实施。卫生计生政策宣传签约主流媒体数2个，计划生育特别扶助家庭护理险享受人数847人，计划生育特殊家庭护理险覆盖率100%，服务人群满意度满意度95%。</w:t>
      </w:r>
    </w:p>
    <w:p w14:paraId="2AE743F7">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发现的主要问题及原因：计划生育及卫生健康政策宣传仍需要加强。下一步改进措施：加大计划生育及卫生健康政策宣传力度。</w:t>
      </w:r>
    </w:p>
    <w:p w14:paraId="417FEB87">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3.卫生专业技术考试经费项目自评综述：根据年初设定的绩效目标，项目自评得分99.68分。全年预算数为40.75万元，执行数为35.44万元，完成预算的96.79%。项目绩效目标完成情况：顺利组织完成2025年医师资格考试、卫生专业技术考试工作任务。考试人员满意度95%。</w:t>
      </w:r>
    </w:p>
    <w:p w14:paraId="04B89F69">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发现的主要问题及原因：项目资金管理有待继续完善改进。下一步改进措施：加强对项目资金的管理及使用。</w:t>
      </w:r>
    </w:p>
    <w:p w14:paraId="3E422F5D">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4.信息系统建设维护项目自评综述：根据年初设定的绩效目标，项目自评得分100分。全年预算数为76.4万元，执行数为76.4万元，完成预算的100%。项目绩效目标完成情况：成立了本地化服务人员团队，提供长期系统运维与技术培训，保障了全市人口健康信息平台等各应用系统正常运行。群众满意度95%。</w:t>
      </w:r>
    </w:p>
    <w:p w14:paraId="4F5BE63F">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5.新型婚育文化建设试点项目自评综述：根据年初设定的绩效目标，项目自评得分99.9分。全年预算数为15万元，执行数为14.85万元，完成预算的99%。项目绩效目标完成情况：新型婚育文化阵地建设7个，进一步提升计生协组织覆盖面和社会影响力，引导群众正确认识国情国策树立新型婚育文化观念，持续提升新型婚育文化的覆盖面和影响力，育龄群众满意率65%。</w:t>
      </w:r>
    </w:p>
    <w:p w14:paraId="705B3E52">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en-US" w:bidi="ar-SA"/>
        </w:rPr>
      </w:pPr>
      <w:r>
        <w:rPr>
          <w:rFonts w:hint="eastAsia" w:ascii="仿宋_GB2312" w:hAnsi="仿宋_GB2312" w:eastAsia="仿宋_GB2312" w:cs="仿宋_GB2312"/>
          <w:kern w:val="2"/>
          <w:sz w:val="32"/>
          <w:szCs w:val="32"/>
          <w:highlight w:val="none"/>
          <w:lang w:val="en-US" w:eastAsia="en-US" w:bidi="ar-SA"/>
        </w:rPr>
        <w:t>发现的主要问题及原因：项目资金管理有待继续完善改进。下一步改进措施：加强对新型婚育文化试点项目的进一步宣传，追求方式多样化。</w:t>
      </w:r>
    </w:p>
    <w:tbl>
      <w:tblPr>
        <w:tblStyle w:val="19"/>
        <w:tblW w:w="6379" w:type="pct"/>
        <w:tblInd w:w="-11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6"/>
        <w:gridCol w:w="457"/>
        <w:gridCol w:w="757"/>
        <w:gridCol w:w="757"/>
        <w:gridCol w:w="757"/>
        <w:gridCol w:w="765"/>
        <w:gridCol w:w="765"/>
        <w:gridCol w:w="757"/>
        <w:gridCol w:w="774"/>
        <w:gridCol w:w="757"/>
        <w:gridCol w:w="761"/>
        <w:gridCol w:w="1929"/>
      </w:tblGrid>
      <w:tr w14:paraId="6D3DD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F9C8521">
            <w:pPr>
              <w:keepNext w:val="0"/>
              <w:keepLines w:val="0"/>
              <w:pageBreakBefore w:val="0"/>
              <w:widowControl/>
              <w:suppressLineNumbers w:val="0"/>
              <w:kinsoku/>
              <w:wordWrap/>
              <w:overflowPunct/>
              <w:topLinePunct w:val="0"/>
              <w:autoSpaceDE/>
              <w:autoSpaceDN/>
              <w:bidi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232C7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1990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03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71EBC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市保健委经费</w:t>
            </w:r>
          </w:p>
        </w:tc>
      </w:tr>
      <w:tr w14:paraId="24337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96C4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3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52019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巴彦淖尔市卫生健康委员会（部门）</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3D87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93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BFCF9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w:t>
            </w:r>
          </w:p>
        </w:tc>
      </w:tr>
      <w:tr w14:paraId="727E2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0DE1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0CC6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C2E5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410A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7A38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54CD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1E0B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1AF8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7AB0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2192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CC2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0AB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79EE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64.59</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4CB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64.59</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5235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AEC6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8DA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0884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957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AAC0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F7E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FCAD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64.59</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76B2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64.59</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0623">
            <w:pPr>
              <w:keepNext w:val="0"/>
              <w:keepLines w:val="0"/>
              <w:pageBreakBefore w:val="0"/>
              <w:widowControl/>
              <w:suppressLineNumbers w:val="0"/>
              <w:kinsoku/>
              <w:wordWrap/>
              <w:overflowPunct/>
              <w:topLinePunct w:val="0"/>
              <w:autoSpaceDE/>
              <w:autoSpaceDN/>
              <w:bidi w:val="0"/>
              <w:jc w:val="both"/>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337A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9330">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632C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6E9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208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99F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64DA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7D9B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1CBA">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3F11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4DA8">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7615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A894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B05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FC2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E522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FCBD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DE7A">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BCDD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21A6">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2B29D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6106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17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9E4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2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735D6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37DE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1F1A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17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2091D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tc>
        <w:tc>
          <w:tcPr>
            <w:tcW w:w="22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DB98C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tc>
      </w:tr>
      <w:tr w14:paraId="32A4A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F776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670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3D3F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0F6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1BF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2575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728F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33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8C4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24D7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C06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036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403C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restart"/>
            <w:tcBorders>
              <w:top w:val="single" w:color="000000" w:sz="4" w:space="0"/>
              <w:left w:val="single" w:color="000000" w:sz="4" w:space="0"/>
              <w:bottom w:val="nil"/>
              <w:right w:val="single" w:color="000000" w:sz="4" w:space="0"/>
            </w:tcBorders>
            <w:shd w:val="clear" w:color="auto" w:fill="auto"/>
            <w:vAlign w:val="center"/>
          </w:tcPr>
          <w:p w14:paraId="65E7B1C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10" w:type="pct"/>
            <w:vMerge w:val="restart"/>
            <w:tcBorders>
              <w:top w:val="single" w:color="000000" w:sz="4" w:space="0"/>
              <w:left w:val="single" w:color="000000" w:sz="4" w:space="0"/>
              <w:bottom w:val="nil"/>
              <w:right w:val="single" w:color="000000" w:sz="4" w:space="0"/>
            </w:tcBorders>
            <w:shd w:val="clear" w:color="auto" w:fill="auto"/>
            <w:vAlign w:val="center"/>
          </w:tcPr>
          <w:p w14:paraId="32FFD05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138B5FF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87E8F7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保健体检人数</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3A29E2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059710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B658DB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67FC68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5DD4B9F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F7E481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67BDD52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3663E8D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D129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3F63B0F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31B5B48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1F0090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C2E239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重大活动医疗保健任务</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59FD5C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905310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0928B8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B8A911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48F2C87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F056FC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6AA617B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62D9106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7A6DB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2AF3146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5F4C5B6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244A608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3DD7DE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配置保健药箱</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550770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5C18E3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4E5F4F8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B1343F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69A66CB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份</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22CAD3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7D11C46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36C9F27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707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7226504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6D6C266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072E906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D06E1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干部保健体检率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0F62E5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A74AE7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BBE6EE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BA67F7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04C89E0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52AB4C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13F9B05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4847C99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763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06667C4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1E32AD0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752BD4C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36AC6E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干部市外复查接待率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262877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595018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1BFE8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05A9CD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567A33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AAE721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1E3F563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69AE233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BB7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11B1E43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28C701B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6B42F8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6ABE61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重大活动医疗保健任务完成率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BF89AA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E58668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3A175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B105DB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751DFD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9BC529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04A660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3B0C0C7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C35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592E58F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222B633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168A295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BA00E5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整体工作完成时间</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19B723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0E33228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51" w:type="pct"/>
            <w:tcBorders>
              <w:top w:val="single" w:color="000000" w:sz="4" w:space="0"/>
              <w:left w:val="single" w:color="000000" w:sz="4" w:space="0"/>
              <w:bottom w:val="nil"/>
              <w:right w:val="single" w:color="000000" w:sz="4" w:space="0"/>
            </w:tcBorders>
            <w:shd w:val="clear" w:color="auto" w:fill="auto"/>
            <w:vAlign w:val="center"/>
          </w:tcPr>
          <w:p w14:paraId="4629AF9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2025年12月前</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EF2856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2025年12月前</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11DB246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432FDD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A38633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1B31173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2E8F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5A4F019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5540882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2F9D2F3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DB7E8C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资金拨付及时率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7C6617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5F4F020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4915CA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5CF79D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75D3A92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98F1A9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0D379E0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503942E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2442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3164455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64DBA3F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5110CBB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60B115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人均干部保健体检成本</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B51129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5F24ED6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4DCF77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0C187C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2495</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3463FB2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862C56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1AFF909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47B9E5A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AEF3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6FA10EC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6212978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0EF1F9B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D6CA1A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保健药箱配置成本</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283357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21EE65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EC2C1D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B1D24D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296.64</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2ADB376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元/份</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508950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0A6023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062CB8C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772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2857A54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73F7E43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DA6366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264A7E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人均市外复查陪同出差成本</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0E3F75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881988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4C286C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6ADA65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371CC72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元/日</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725B3E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4F08A78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5D96DCE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7224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17AAA1B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restart"/>
            <w:tcBorders>
              <w:top w:val="single" w:color="000000" w:sz="4" w:space="0"/>
              <w:left w:val="single" w:color="000000" w:sz="4" w:space="0"/>
              <w:bottom w:val="nil"/>
              <w:right w:val="single" w:color="000000" w:sz="4" w:space="0"/>
            </w:tcBorders>
            <w:shd w:val="clear" w:color="auto" w:fill="auto"/>
            <w:vAlign w:val="center"/>
          </w:tcPr>
          <w:p w14:paraId="62EDD27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70CD7F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802947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重大活动医疗保健水平</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9DD07E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37AA118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51" w:type="pct"/>
            <w:tcBorders>
              <w:top w:val="single" w:color="000000" w:sz="4" w:space="0"/>
              <w:left w:val="single" w:color="000000" w:sz="4" w:space="0"/>
              <w:bottom w:val="nil"/>
              <w:right w:val="single" w:color="000000" w:sz="4" w:space="0"/>
            </w:tcBorders>
            <w:shd w:val="clear" w:color="auto" w:fill="auto"/>
            <w:vAlign w:val="center"/>
          </w:tcPr>
          <w:p w14:paraId="33BE8A4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9B24C2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2FFE0D6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284750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4E74E90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57B7982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931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626F77D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0E2B4F5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2A0C39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F64027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项目持续发挥效益</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BF445D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673D22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E5A08F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519013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1C698CD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96F4B6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372ABE1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29241E5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98C9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7"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169B594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restart"/>
            <w:tcBorders>
              <w:top w:val="single" w:color="000000" w:sz="4" w:space="0"/>
              <w:left w:val="single" w:color="000000" w:sz="4" w:space="0"/>
              <w:bottom w:val="nil"/>
              <w:right w:val="single" w:color="000000" w:sz="4" w:space="0"/>
            </w:tcBorders>
            <w:shd w:val="clear" w:color="auto" w:fill="auto"/>
            <w:vAlign w:val="center"/>
          </w:tcPr>
          <w:p w14:paraId="22AA57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6678197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2D2706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主管部门满意度</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0A20BD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AACD7B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F72A0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FD4089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0FA3CC1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25D20F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9A065E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162A3B2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D2E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56F71B6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3D7B38C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FD2F4A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EE0A4C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保健对象满意度</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5C6DF6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609F53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5155EDD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ADF336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33FE4BD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49805B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5D1C52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174C31A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A36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341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BEC62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FC2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18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7BE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bl>
    <w:p w14:paraId="2085FFFA">
      <w:pPr>
        <w:pStyle w:val="31"/>
        <w:keepNext w:val="0"/>
        <w:keepLines w:val="0"/>
        <w:pageBreakBefore w:val="0"/>
        <w:widowControl/>
        <w:kinsoku/>
        <w:wordWrap/>
        <w:overflowPunct/>
        <w:topLinePunct w:val="0"/>
        <w:autoSpaceDE/>
        <w:autoSpaceDN/>
        <w:bidi w:val="0"/>
        <w:spacing w:line="560" w:lineRule="exact"/>
        <w:jc w:val="both"/>
        <w:rPr>
          <w:rFonts w:hint="eastAsia" w:ascii="方正仿宋_GB2312" w:hAnsi="方正仿宋_GB2312" w:eastAsia="方正仿宋_GB2312" w:cs="方正仿宋_GB2312"/>
          <w:kern w:val="0"/>
          <w:sz w:val="32"/>
          <w:szCs w:val="32"/>
          <w:u w:val="none" w:color="auto"/>
          <w:lang w:val="en-US" w:eastAsia="en-US"/>
        </w:rPr>
      </w:pPr>
    </w:p>
    <w:tbl>
      <w:tblPr>
        <w:tblStyle w:val="19"/>
        <w:tblW w:w="10920" w:type="dxa"/>
        <w:tblInd w:w="-1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3"/>
        <w:gridCol w:w="592"/>
        <w:gridCol w:w="821"/>
        <w:gridCol w:w="1475"/>
        <w:gridCol w:w="543"/>
        <w:gridCol w:w="543"/>
        <w:gridCol w:w="809"/>
        <w:gridCol w:w="809"/>
        <w:gridCol w:w="703"/>
        <w:gridCol w:w="520"/>
        <w:gridCol w:w="722"/>
        <w:gridCol w:w="2840"/>
      </w:tblGrid>
      <w:tr w14:paraId="460F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09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5D4D66F">
            <w:pPr>
              <w:keepNext w:val="0"/>
              <w:keepLines w:val="0"/>
              <w:pageBreakBefore w:val="0"/>
              <w:widowControl/>
              <w:suppressLineNumbers w:val="0"/>
              <w:kinsoku/>
              <w:wordWrap/>
              <w:overflowPunct/>
              <w:topLinePunct w:val="0"/>
              <w:autoSpaceDE/>
              <w:autoSpaceDN/>
              <w:bidi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4617E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EFC4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98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D66B2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卫生健康事业费</w:t>
            </w:r>
          </w:p>
        </w:tc>
      </w:tr>
      <w:tr w14:paraId="66F92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F7A8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9926B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345E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51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381DE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w:t>
            </w:r>
          </w:p>
        </w:tc>
      </w:tr>
      <w:tr w14:paraId="612F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94CE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DACE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BBDE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9FE4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F1C6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DBC4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CA8F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38A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2764D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6FFC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28C0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987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1B8A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54.97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C9B1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B56F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08B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3D7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B2F4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3B84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C55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1F83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659E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54.97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9536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049A">
            <w:pPr>
              <w:keepNext w:val="0"/>
              <w:keepLines w:val="0"/>
              <w:pageBreakBefore w:val="0"/>
              <w:widowControl/>
              <w:suppressLineNumbers w:val="0"/>
              <w:kinsoku/>
              <w:wordWrap/>
              <w:overflowPunct/>
              <w:topLinePunct w:val="0"/>
              <w:autoSpaceDE/>
              <w:autoSpaceDN/>
              <w:bidi w:val="0"/>
              <w:jc w:val="both"/>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6C60A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EB1AC">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363A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E95D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2C0D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8605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B094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C2E1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4108">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7CCD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DB36">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16A9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F8A7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F9FB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8997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9CC2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A7E5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9C0C">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6C1D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6A21">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92A6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66B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3AEF2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63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150F6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2F3CD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D85B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3D7E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目标1：推进卫生健康工作，提升人民群众健康水平；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目标2：全面落实计划生育奖励、特别扶助等到政策实施；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目标3：加强流动人口服务管理,全面落实施基本公共卫生均等化服务。</w:t>
            </w:r>
          </w:p>
        </w:tc>
        <w:tc>
          <w:tcPr>
            <w:tcW w:w="63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1D741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目标1：推进卫生健康工作，提升人民群众健康水平；  目标2：全面落实计划生育奖励、特别扶助等到政策实施；  目标3：加强流动人口服务管理,全面落实施基本公共卫生均等化服务。</w:t>
            </w:r>
          </w:p>
        </w:tc>
      </w:tr>
      <w:tr w14:paraId="094C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3111E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43B66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7547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4ACB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FE36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E576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9629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9D59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443D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C8B7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332E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423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62EAA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6"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579916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CA102F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F245B9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B089F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卫生计生政策宣传签约主流媒体数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8205D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670C4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27E1E5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01730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A1CC48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03A5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0C152A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21FF63F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4807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C06471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95AD80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258180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889BC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计划生育特别扶助家庭护理险享受人数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F94D24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FD37D0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C8CF4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2AF9D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ABD37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9953B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40422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224D7AA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83CC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61BF0E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6EAF45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197E6F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AE41F9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卫生计生工作督查指导次数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5A72C4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00184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655AF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1DEAF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DF4D9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95BA23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97D4F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3E4F6BA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DEF3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8EF373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64CBC0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CDEB96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830054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卫生计生工作培训学习次数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569953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E57A22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BC3C5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0C8C0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DE66B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FEA92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E02375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1EBF0B0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D22D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3A332D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6352BE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0DAC40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C4B91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婴幼儿照护服务指导中心数量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BB9F3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A6A93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D8A22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934AF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60FAB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0AE6A1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22588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25809F9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784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0F8AF3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97E34C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2DC52A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C6555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安宁疗护试点数量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A386DA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AF18F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FE20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551BAF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F188A0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BBF91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16CA2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168D0BA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C34E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0FB0E7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F7AB36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2EA9E8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DE7C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育龄群众对享有计划生育权利和健康基础知识知晓率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41F9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B9F44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EE0D1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2EBB66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06E7D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8135F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01648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4B10E0E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B371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21C35A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6FD048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2E71A5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98289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计划生育特殊家庭护理险覆盖率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DE816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25905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0FA9F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CEAB8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817F0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9EA2F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8C006A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3B27A31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4FFB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C17CD0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F5C3FF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0A54DB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030B6B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卫生计生工作督查指导覆盖率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FF8EB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52F40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6169F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5BBA2C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27F153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F2C5B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3A072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4AA4100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A73F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B7D3BA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6935A8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8F9E03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CDEE75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项目整体工作完成时间</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94624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DB2E1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624A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C2BC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855222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F2F05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BABB6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72334ED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BBA5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D23726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BF9D20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1E7CE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B58BF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资金拨付及时率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A1BCD5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AFA913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8A478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83A99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9A947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9F94B8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07D1F2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7A9080E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DEBB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24093D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07294C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2742B7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D8353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942A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E02199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1ADE3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8CD48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42801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77E0B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B596B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1B70E57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D098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6327DA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6EB647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3949F9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AD1D56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人均培训成本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E629C4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5C10AA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2D0C4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A7D70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25880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元/天</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B5847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A7650C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2DDB9F5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07ED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F0D9C0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12160D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863C20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7F211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育龄群众计划生育权利和健康知识知晓程度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BF1EFD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58BA0A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C9F09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5539EE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FB8E4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C5B53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7BAEC6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080FA1D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740B0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2B8BA3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C20B10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96E322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55A20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应享有计划生育政策补助家庭生活水平</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FF8FD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E796B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3AF65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ED2EDB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FF2EB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6465F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76557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5543C31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A7E3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A4C277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0EAD31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F04670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484FD3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老龄健康工作水平</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F466C3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1959E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8DB9F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E51B89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57BF2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5712D7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C93FBD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451AACF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B55E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C1917F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091DAB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F617C5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42426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婴幼儿照护服务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2622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BB45A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42FC32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有所加强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9C825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有所加强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82B25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903FF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52A14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4616CCA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1161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31DFB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0316B9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671F1C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11402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母婴健康安全</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8E3FA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5FF7E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04A096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有所保障</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8B60B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有所保障</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55C14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7251C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95A1F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612CBCD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109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EC2805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CE4E3A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D16B18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E3CBA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卫生健康服务水平</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D6A86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B9364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72F7D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FE803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966C92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A8E89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79057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6F15C93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A93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4CD85D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570D4B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99D8B9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3924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项目可持续影响期限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E14150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E41CF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7B1A9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BDEF5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41A837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14828F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6C603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35C6BE8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2C2E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6D2D3E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EA49D4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783843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07C5FC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4A030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98DF6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EB01B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CC3800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2B74A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4B6C03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C01B1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756F758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25A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6F2C25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BC3B50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76255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15A38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服务人群满意度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7C56AE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24F916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FB836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47784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9CF4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5430B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AE560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690" w:type="dxa"/>
            <w:tcBorders>
              <w:top w:val="single" w:color="000000" w:sz="4" w:space="0"/>
              <w:left w:val="single" w:color="000000" w:sz="4" w:space="0"/>
              <w:bottom w:val="nil"/>
              <w:right w:val="single" w:color="000000" w:sz="4" w:space="0"/>
            </w:tcBorders>
            <w:shd w:val="clear" w:color="auto" w:fill="auto"/>
            <w:vAlign w:val="center"/>
          </w:tcPr>
          <w:p w14:paraId="34F668D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70B15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B65E2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14F7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04BD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D0A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bl>
    <w:p w14:paraId="794CF3B0">
      <w:pPr>
        <w:pStyle w:val="31"/>
        <w:keepNext w:val="0"/>
        <w:keepLines w:val="0"/>
        <w:pageBreakBefore w:val="0"/>
        <w:widowControl/>
        <w:kinsoku/>
        <w:wordWrap/>
        <w:overflowPunct/>
        <w:topLinePunct w:val="0"/>
        <w:autoSpaceDE/>
        <w:autoSpaceDN/>
        <w:bidi w:val="0"/>
        <w:spacing w:line="560" w:lineRule="exact"/>
        <w:jc w:val="both"/>
        <w:rPr>
          <w:rFonts w:hint="eastAsia" w:ascii="方正仿宋_GB2312" w:hAnsi="方正仿宋_GB2312" w:eastAsia="方正仿宋_GB2312" w:cs="方正仿宋_GB2312"/>
          <w:kern w:val="0"/>
          <w:sz w:val="32"/>
          <w:szCs w:val="32"/>
          <w:u w:val="none" w:color="auto"/>
          <w:lang w:val="en-US" w:eastAsia="en-US"/>
        </w:rPr>
      </w:pPr>
    </w:p>
    <w:tbl>
      <w:tblPr>
        <w:tblStyle w:val="19"/>
        <w:tblW w:w="10875" w:type="dxa"/>
        <w:tblInd w:w="-11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48"/>
        <w:gridCol w:w="1070"/>
        <w:gridCol w:w="707"/>
        <w:gridCol w:w="788"/>
        <w:gridCol w:w="474"/>
        <w:gridCol w:w="474"/>
        <w:gridCol w:w="700"/>
        <w:gridCol w:w="739"/>
        <w:gridCol w:w="645"/>
        <w:gridCol w:w="504"/>
        <w:gridCol w:w="626"/>
        <w:gridCol w:w="2200"/>
      </w:tblGrid>
      <w:tr w14:paraId="7E3BA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87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99D0DBA">
            <w:pPr>
              <w:keepNext w:val="0"/>
              <w:keepLines w:val="0"/>
              <w:pageBreakBefore w:val="0"/>
              <w:widowControl/>
              <w:suppressLineNumbers w:val="0"/>
              <w:kinsoku/>
              <w:wordWrap/>
              <w:overflowPunct/>
              <w:topLinePunct w:val="0"/>
              <w:autoSpaceDE/>
              <w:autoSpaceDN/>
              <w:bidi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64073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8A14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9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1AE8D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卫生专业技术考试经费</w:t>
            </w:r>
          </w:p>
        </w:tc>
      </w:tr>
      <w:tr w14:paraId="300F1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28D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241F8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A71D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1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9DB7E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w:t>
            </w:r>
          </w:p>
        </w:tc>
      </w:tr>
      <w:tr w14:paraId="3434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F83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A11F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EE61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A97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103D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E69B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AAA1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F85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3725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42ED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2A7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EB4E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816E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0E9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D61B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0F64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96.79</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79C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9.68</w:t>
            </w:r>
          </w:p>
        </w:tc>
      </w:tr>
      <w:tr w14:paraId="502D9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85C4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B6C2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A65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DABB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2601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0D8E">
            <w:pPr>
              <w:keepNext w:val="0"/>
              <w:keepLines w:val="0"/>
              <w:pageBreakBefore w:val="0"/>
              <w:widowControl/>
              <w:suppressLineNumbers w:val="0"/>
              <w:kinsoku/>
              <w:wordWrap/>
              <w:overflowPunct/>
              <w:topLinePunct w:val="0"/>
              <w:autoSpaceDE/>
              <w:autoSpaceDN/>
              <w:bidi w:val="0"/>
              <w:jc w:val="both"/>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34D1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96.79</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4AA6">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78CA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C738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64E4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EF64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17A1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12F6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97F4">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FD05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B35B">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513A1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6338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F61F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4811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203B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1BE6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CEBF">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98FD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F6EDB">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2E010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C1BC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24940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50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D3B82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9B7D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8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EAE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20797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目标1：组织完成2023年执业医师考试工作任务，提高服务工作水平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目标2：组织完成2023年卫生专业技术资格考试工作任务，提高服务工作水平。</w:t>
            </w:r>
          </w:p>
        </w:tc>
        <w:tc>
          <w:tcPr>
            <w:tcW w:w="50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3152B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目标1：组织完成2023年执业医师考试工作任务，提高服务工作水平 目标2：组织完成2023年卫生专业技术资格考试工作任务，提高服务工作水平。</w:t>
            </w:r>
          </w:p>
        </w:tc>
      </w:tr>
      <w:tr w14:paraId="24620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BEA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C361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C010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115A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1B01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68E0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D03B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585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CF1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376F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44D9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6F2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742DD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restart"/>
            <w:tcBorders>
              <w:top w:val="single" w:color="000000" w:sz="4" w:space="0"/>
              <w:left w:val="single" w:color="000000" w:sz="4" w:space="0"/>
              <w:bottom w:val="nil"/>
              <w:right w:val="single" w:color="000000" w:sz="4" w:space="0"/>
            </w:tcBorders>
            <w:shd w:val="clear" w:color="auto" w:fill="auto"/>
            <w:vAlign w:val="center"/>
          </w:tcPr>
          <w:p w14:paraId="53F3B2E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EB82E0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35E8F8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F2305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医师资格考试次数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9AA59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55050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5FE132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1CA8D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B846E5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73A5A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7CA9C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2C54AEB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796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64363C3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F4068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FE8399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906BE8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考试资格现场审查次数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6D406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FA723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7E6F7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8A42D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4E3AD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E1A5F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0AB45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3E1C4A5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D01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68E1058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306601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8133C2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ADCFD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医师资格考试报考人数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DDA62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766CCE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7DAB6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4E4EED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20082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05921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FDB3A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1E1A668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29B4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24EB928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9C6DD9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36C7AD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70267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医师资格考试业务人员培训次数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61ACF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A11F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65007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7FBD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E649E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BC66F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6576F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5A41B41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8E7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04A7A63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FA214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F8563D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5F566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医师资格考试业务人员培训人数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EF092F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4A6F5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28C75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93C6C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D4EB4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56CE0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8A9A50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593B391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7682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0726F86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10304B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25D317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8127AB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专业技术资格考试次数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45079F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A84F7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81001E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1CE71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9EB4A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9BF39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97A4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060C49A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C83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15469C3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3531C9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4D601A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728EA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专业技术资格考试现场审查次数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0E705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DF33F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B63E1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A09072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582E5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A8EF2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5EE939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70A1005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96EF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0F24D73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50AB75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B90AEF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106AC4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专业技术资格考试报考人数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D55F8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F4E98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3CD9B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7258F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F1DFD7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1E091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CA2E1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464D6C7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C58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3D908C4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FA8C09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ED07D1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34E78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专业技术资格考试业务人员培训次数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1903E4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4BAFC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3F3D1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DDA26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42F24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0EB7A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FC721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31955AF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444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50935F0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C63C7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95D41B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725A64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专业技术资格考试业务人员培训人数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08800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8D538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A895F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C4413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A59A38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D2C80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6099F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28D28A7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08AE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2EC3450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41DEB9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23A83B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47A3C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考试组织完成率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32706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CAE28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1283A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E6096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565676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FB326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2E26F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5567A73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4DB6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6AB0A33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65A04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FE1F9B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0225E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培训参与率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6EDA6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8A82C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0DF96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07E7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8850F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5E14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65FC9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227ACD3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2BB0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2D1B3F8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E8B321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E59CA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40DA2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培训覆盖率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7EFDC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35558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279DD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1CE62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0F5D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F15F64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AF1F9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3A2A9CA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B7D5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706FA73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6CAF85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183AC3A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77032B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考试完成时间</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A723C7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0C7AF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1E60A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F317F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6C9BB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418DB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78F80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66B1747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E00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6A6E389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FAA375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A8CB02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B2E70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考试按时完成率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E66592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9ECAB7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330DB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FAC78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57E3C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502AC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A60E9A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27C5382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703AB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586672A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1A85A4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2C04B7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35DE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考试考务人员人均劳务成本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C1980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9E662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A47CC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91C714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93620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元/日</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95C1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BA7D4A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6DA237C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9FFC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592BD1D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BEB649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BF64CF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B30F5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415F64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42BD37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D006E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BE627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39.44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B1394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1B47F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F5092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4FC8CB4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6ACE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6A41ED2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C373E6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A429EE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3AAEEA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考务工作水平</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7268D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380B3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D371A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进一步规范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72E05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进一步规范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131E4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6065F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C3D1B3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0337FB4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C683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3A19CFA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55A4C7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842F61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2FF27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专业技术资格考试工作</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DBA48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B3CBD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5A764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进一步规范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B4D07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进一步规范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6B529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EEE0E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916AE8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7B60CC2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2B4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7F34E3E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6585D8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86525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CC32D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项目持续发挥作用期限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EE8777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4BDD5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884E8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BCDD7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AEA5C1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75A42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7C798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165F330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D3C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5D51A75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E8149E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4034AE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D8E76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B958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682A3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EC057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756A5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6B1EA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1F2235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6748F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0BA820C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460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26" w:type="dxa"/>
            <w:vMerge w:val="continue"/>
            <w:tcBorders>
              <w:top w:val="single" w:color="000000" w:sz="4" w:space="0"/>
              <w:left w:val="single" w:color="000000" w:sz="4" w:space="0"/>
              <w:bottom w:val="nil"/>
              <w:right w:val="single" w:color="000000" w:sz="4" w:space="0"/>
            </w:tcBorders>
            <w:shd w:val="clear" w:color="auto" w:fill="auto"/>
            <w:vAlign w:val="center"/>
          </w:tcPr>
          <w:p w14:paraId="45C00F3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FA278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AE921C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076975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考试人员满意度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0458B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759C52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00411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6FC85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0026E4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2A93F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B4B70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175" w:type="dxa"/>
            <w:tcBorders>
              <w:top w:val="single" w:color="000000" w:sz="4" w:space="0"/>
              <w:left w:val="single" w:color="000000" w:sz="4" w:space="0"/>
              <w:bottom w:val="nil"/>
              <w:right w:val="single" w:color="000000" w:sz="4" w:space="0"/>
            </w:tcBorders>
            <w:shd w:val="clear" w:color="auto" w:fill="auto"/>
            <w:vAlign w:val="center"/>
          </w:tcPr>
          <w:p w14:paraId="307FA16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71CE4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42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0242E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7681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33A6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99.68</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B63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bl>
    <w:p w14:paraId="3C4DBD22">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01C1EBA0">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6CCED493">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49DC2F45">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3AE32BE0">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3137BCB5">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64E6E00E">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61810A3C">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57A7EC8C">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267E7CD2">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11D3C3D6">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0F692C43">
      <w:pPr>
        <w:pStyle w:val="31"/>
        <w:keepNext w:val="0"/>
        <w:keepLines w:val="0"/>
        <w:pageBreakBefore w:val="0"/>
        <w:widowControl/>
        <w:kinsoku/>
        <w:wordWrap/>
        <w:overflowPunct/>
        <w:topLinePunct w:val="0"/>
        <w:autoSpaceDE/>
        <w:autoSpaceDN/>
        <w:bidi w:val="0"/>
        <w:spacing w:line="560" w:lineRule="exact"/>
        <w:jc w:val="both"/>
        <w:rPr>
          <w:rFonts w:hint="eastAsia" w:ascii="方正仿宋_GB2312" w:hAnsi="方正仿宋_GB2312" w:eastAsia="方正仿宋_GB2312" w:cs="方正仿宋_GB2312"/>
          <w:kern w:val="0"/>
          <w:sz w:val="32"/>
          <w:szCs w:val="32"/>
          <w:u w:val="none" w:color="auto"/>
          <w:lang w:val="en-US" w:eastAsia="en-US"/>
        </w:rPr>
      </w:pPr>
    </w:p>
    <w:tbl>
      <w:tblPr>
        <w:tblStyle w:val="19"/>
        <w:tblW w:w="10905" w:type="dxa"/>
        <w:tblInd w:w="-1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60"/>
        <w:gridCol w:w="1070"/>
        <w:gridCol w:w="695"/>
        <w:gridCol w:w="941"/>
        <w:gridCol w:w="469"/>
        <w:gridCol w:w="468"/>
        <w:gridCol w:w="692"/>
        <w:gridCol w:w="673"/>
        <w:gridCol w:w="632"/>
        <w:gridCol w:w="496"/>
        <w:gridCol w:w="711"/>
        <w:gridCol w:w="2098"/>
      </w:tblGrid>
      <w:tr w14:paraId="4EECA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90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53A6060">
            <w:pPr>
              <w:keepNext w:val="0"/>
              <w:keepLines w:val="0"/>
              <w:pageBreakBefore w:val="0"/>
              <w:widowControl/>
              <w:suppressLineNumbers w:val="0"/>
              <w:kinsoku/>
              <w:wordWrap/>
              <w:overflowPunct/>
              <w:topLinePunct w:val="0"/>
              <w:autoSpaceDE/>
              <w:autoSpaceDN/>
              <w:bidi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13235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65E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01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4D5A9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信息系统建设维护</w:t>
            </w:r>
          </w:p>
        </w:tc>
      </w:tr>
      <w:tr w14:paraId="30B9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6B42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CD067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9C65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C141B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w:t>
            </w:r>
          </w:p>
        </w:tc>
      </w:tr>
      <w:tr w14:paraId="401C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6DF9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7CEC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665A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E485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6069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0A78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484A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DA7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4999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BF7B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8C69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12D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255F6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83AE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6ED8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0F8E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6DE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78F6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47C3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612B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2957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D9B1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D1F0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F1F3">
            <w:pPr>
              <w:keepNext w:val="0"/>
              <w:keepLines w:val="0"/>
              <w:pageBreakBefore w:val="0"/>
              <w:widowControl/>
              <w:suppressLineNumbers w:val="0"/>
              <w:kinsoku/>
              <w:wordWrap/>
              <w:overflowPunct/>
              <w:topLinePunct w:val="0"/>
              <w:autoSpaceDE/>
              <w:autoSpaceDN/>
              <w:bidi w:val="0"/>
              <w:jc w:val="both"/>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7231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C329">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31D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F044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5A40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7075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0FAD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F8022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A742">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7FE3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3007">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5152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66C2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5686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7650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C8CE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2F56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4590">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D06E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9A23">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ADFA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B613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DBF6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48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59C20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245D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8912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2AF0E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完成卫生健康信息化建设各类应用系统达到自治区及市下达的标准化建设目标任务；保障各类应用系统安全稳定运行。</w:t>
            </w:r>
          </w:p>
        </w:tc>
        <w:tc>
          <w:tcPr>
            <w:tcW w:w="48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A74F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完成卫生健康信息化建设各类应用系统达到自治区及市下达的标准化建设目标任务；保障各类应用系统安全稳定运行。</w:t>
            </w:r>
          </w:p>
        </w:tc>
      </w:tr>
      <w:tr w14:paraId="11EDE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402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7A8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59D8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B4EC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DE86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1422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6C65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D6AB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66C3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EC2A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B976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1E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25F8F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restart"/>
            <w:tcBorders>
              <w:top w:val="single" w:color="000000" w:sz="4" w:space="0"/>
              <w:left w:val="single" w:color="000000" w:sz="4" w:space="0"/>
              <w:bottom w:val="nil"/>
              <w:right w:val="single" w:color="000000" w:sz="4" w:space="0"/>
            </w:tcBorders>
            <w:shd w:val="clear" w:color="auto" w:fill="auto"/>
            <w:vAlign w:val="center"/>
          </w:tcPr>
          <w:p w14:paraId="00FF596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B2B9CC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A3A9B9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497FF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全民健康信息平台各类型应用系统数量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B0859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426BA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BB536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47859D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94EFE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0B5606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92A9A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25ABE40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A979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1FE762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F28D8A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6CBDE3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05E1A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平台覆盖旗县数量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7A5B3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99D5B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5AFF9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AE2C7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3B517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012FE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4BC92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70E6032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2E2E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447EBD9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392699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053921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540B3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运行畅通率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BD855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86B3F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655A0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5E8456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BA48C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BF28C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AD8620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1FCD8E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13F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ABFE54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8D1CF3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929FA4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DD4C4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功能达标率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D8493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A90C0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8CEA4E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40223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4242E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D8F0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AA743F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19A08FA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73C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4B95FFD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B782C6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40B7AD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4F422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全民健康信息平台各类型应用系统验收及时率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B3125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F656D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62883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11453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DA214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03B13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76F0E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4A3D33D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0C12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B1F8D0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6CEBA3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3FAB23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4A5F9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软件系统信息安全等级保护测评验收及时率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5AF9E8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266733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96F75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04434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36F33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7D49FD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87019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1F7345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964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37DEE92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DAA64F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66B909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57CA1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本地化的运维服务费用</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36669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67FE9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E2EE0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5FD09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BCD284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623FA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801A8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65F22D3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FC61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5566834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70145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6E8B0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F9682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全民健康信息平台运维服务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BA7E7D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BC085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03E065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29B753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DD3F9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D6BE6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E3CDC7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702E269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1A6A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54CDB0D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899981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D1B7A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5E2519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促进卫生健康各项改革政策执行</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CF5285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3FFD04">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2F3FC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有效执行</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FA650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有效执行</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CFDA0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4D936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32C7E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3FEC645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B8D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BCA83B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D19926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230156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61AA9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提供居民便捷高效低价卫生健康服务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6B41E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B48B4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150C9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BF26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94AC6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D7036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81D13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E41FB1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9D21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476B247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D569B5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21510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FF34C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及时解决系统运行的各类问题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E5600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D92A9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F3302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9BD51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D3247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07E3F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8516E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E0E190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F37A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BD2020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B98BB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26952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2831D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使用人员满意度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3B780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18D85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F9AF7C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AE5B6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EA65F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EF6A6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0120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618CF66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60B4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5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C2D9A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F1A3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9C1F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7DD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bl>
    <w:p w14:paraId="644D97A5">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7740EC0C">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6DC857D9">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56A0B6EA">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04D65C7F">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en-US"/>
        </w:rPr>
      </w:pPr>
    </w:p>
    <w:p w14:paraId="3D341E25">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zh-CN"/>
        </w:rPr>
      </w:pPr>
    </w:p>
    <w:p w14:paraId="6A0EB728">
      <w:pPr>
        <w:pStyle w:val="31"/>
        <w:keepNext w:val="0"/>
        <w:keepLines w:val="0"/>
        <w:pageBreakBefore w:val="0"/>
        <w:widowControl/>
        <w:kinsoku/>
        <w:wordWrap/>
        <w:overflowPunct/>
        <w:topLinePunct w:val="0"/>
        <w:autoSpaceDE/>
        <w:autoSpaceDN/>
        <w:bidi w:val="0"/>
        <w:spacing w:line="560" w:lineRule="exact"/>
        <w:jc w:val="both"/>
        <w:rPr>
          <w:rFonts w:hint="eastAsia" w:ascii="方正仿宋_GB2312" w:hAnsi="方正仿宋_GB2312" w:eastAsia="方正仿宋_GB2312" w:cs="方正仿宋_GB2312"/>
          <w:kern w:val="0"/>
          <w:sz w:val="32"/>
          <w:szCs w:val="32"/>
          <w:u w:val="none" w:color="auto"/>
          <w:lang w:val="en-US" w:eastAsia="zh-CN"/>
        </w:rPr>
      </w:pPr>
    </w:p>
    <w:p w14:paraId="08B918F8">
      <w:pPr>
        <w:pStyle w:val="31"/>
        <w:keepNext w:val="0"/>
        <w:keepLines w:val="0"/>
        <w:pageBreakBefore w:val="0"/>
        <w:widowControl/>
        <w:kinsoku/>
        <w:wordWrap/>
        <w:overflowPunct/>
        <w:topLinePunct w:val="0"/>
        <w:autoSpaceDE/>
        <w:autoSpaceDN/>
        <w:bidi w:val="0"/>
        <w:spacing w:line="560" w:lineRule="exact"/>
        <w:ind w:firstLine="640" w:firstLineChars="200"/>
        <w:jc w:val="both"/>
        <w:rPr>
          <w:rFonts w:hint="eastAsia" w:ascii="方正仿宋_GB2312" w:hAnsi="方正仿宋_GB2312" w:eastAsia="方正仿宋_GB2312" w:cs="方正仿宋_GB2312"/>
          <w:kern w:val="0"/>
          <w:sz w:val="32"/>
          <w:szCs w:val="32"/>
          <w:u w:val="none" w:color="auto"/>
          <w:lang w:val="en-US" w:eastAsia="zh-CN"/>
        </w:rPr>
      </w:pPr>
    </w:p>
    <w:p w14:paraId="04B2F8DB">
      <w:pPr>
        <w:pStyle w:val="31"/>
        <w:keepNext w:val="0"/>
        <w:keepLines w:val="0"/>
        <w:pageBreakBefore w:val="0"/>
        <w:widowControl/>
        <w:kinsoku/>
        <w:wordWrap/>
        <w:overflowPunct/>
        <w:topLinePunct w:val="0"/>
        <w:autoSpaceDE/>
        <w:autoSpaceDN/>
        <w:bidi w:val="0"/>
        <w:spacing w:line="560" w:lineRule="exact"/>
        <w:jc w:val="both"/>
        <w:rPr>
          <w:rFonts w:hint="eastAsia" w:ascii="方正仿宋_GB2312" w:hAnsi="方正仿宋_GB2312" w:eastAsia="方正仿宋_GB2312" w:cs="方正仿宋_GB2312"/>
          <w:kern w:val="0"/>
          <w:sz w:val="32"/>
          <w:szCs w:val="32"/>
          <w:u w:val="none" w:color="auto"/>
          <w:lang w:val="en-US" w:eastAsia="zh-CN"/>
        </w:rPr>
      </w:pPr>
    </w:p>
    <w:tbl>
      <w:tblPr>
        <w:tblStyle w:val="19"/>
        <w:tblW w:w="10890" w:type="dxa"/>
        <w:tblInd w:w="-1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5"/>
        <w:gridCol w:w="1063"/>
        <w:gridCol w:w="740"/>
        <w:gridCol w:w="916"/>
        <w:gridCol w:w="499"/>
        <w:gridCol w:w="499"/>
        <w:gridCol w:w="758"/>
        <w:gridCol w:w="666"/>
        <w:gridCol w:w="611"/>
        <w:gridCol w:w="492"/>
        <w:gridCol w:w="623"/>
        <w:gridCol w:w="2088"/>
      </w:tblGrid>
      <w:tr w14:paraId="58AF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89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EBD2D09">
            <w:pPr>
              <w:keepNext w:val="0"/>
              <w:keepLines w:val="0"/>
              <w:pageBreakBefore w:val="0"/>
              <w:widowControl/>
              <w:suppressLineNumbers w:val="0"/>
              <w:kinsoku/>
              <w:wordWrap/>
              <w:overflowPunct/>
              <w:topLinePunct w:val="0"/>
              <w:autoSpaceDE/>
              <w:autoSpaceDN/>
              <w:bidi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643FB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6954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0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A7C0A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新型 婚育文化建设试点项目</w:t>
            </w:r>
          </w:p>
        </w:tc>
      </w:tr>
      <w:tr w14:paraId="44374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C67A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8D641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4978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40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BFDC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巴彦淖尔市卫生健康委员会</w:t>
            </w:r>
          </w:p>
        </w:tc>
      </w:tr>
      <w:tr w14:paraId="27B99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A98D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626D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EC1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4BFF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94D0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9CD5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BFFA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283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6E62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E69E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6890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171D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209A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B996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A99F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653A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5E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r>
      <w:tr w14:paraId="7413F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6EEA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49E9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098E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26AA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46EC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97E8">
            <w:pPr>
              <w:keepNext w:val="0"/>
              <w:keepLines w:val="0"/>
              <w:pageBreakBefore w:val="0"/>
              <w:widowControl/>
              <w:suppressLineNumbers w:val="0"/>
              <w:kinsoku/>
              <w:wordWrap/>
              <w:overflowPunct/>
              <w:topLinePunct w:val="0"/>
              <w:autoSpaceDE/>
              <w:autoSpaceDN/>
              <w:bidi w:val="0"/>
              <w:jc w:val="both"/>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EE88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D2AC">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3595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C854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4DFE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529A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7CB7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11CC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EB50">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D7EC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2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EEF4">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2EDE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542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F1A6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F5E5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2CEC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5EDC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DFE6">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F301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BFFE">
            <w:pPr>
              <w:keepNext w:val="0"/>
              <w:keepLines w:val="0"/>
              <w:pageBreakBefore w:val="0"/>
              <w:widowControl/>
              <w:suppressLineNumbers w:val="0"/>
              <w:kinsoku/>
              <w:wordWrap/>
              <w:overflowPunct/>
              <w:topLinePunct w:val="0"/>
              <w:autoSpaceDE/>
              <w:autoSpaceDN/>
              <w:bidi w:val="0"/>
              <w:jc w:val="both"/>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59AF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D34B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2464F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48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C522A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5AA96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346B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8D7B5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好生育政策宣传倡导和解读，推动辖区育龄人群生育政策及配套支持措施知晓率超过80%。积极培育新型婚育文化，加强对年轻人婚恋观、生育观、家庭观的引导。积极倡导机关、企事业单位及社会各界共同参与，营造良好的支持环境和社会氛围。发挥试点示范引领作用，探索形成计生协新型婚育文化建设工作的成熟经验。</w:t>
            </w:r>
          </w:p>
        </w:tc>
        <w:tc>
          <w:tcPr>
            <w:tcW w:w="48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51F79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做好生育政策宣传倡导和解读，推动辖区育龄人群生育政策及配套支持措施知晓率超过80%。积极培育新型婚育文化，加强对年轻人婚恋观、生育观、家庭观的引导。积极倡导机关、企事业单位及社会各界共同参与，营造良好的支持环境和社会氛围。发挥试点示范引领作用，探索形成计生协新型婚育文化建设工作的成熟经验。</w:t>
            </w:r>
          </w:p>
        </w:tc>
      </w:tr>
      <w:tr w14:paraId="4B2D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1D9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D51A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CC03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C1A0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67A4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7C67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528B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2B55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DD1E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875C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EF02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FB8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3A3D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restart"/>
            <w:tcBorders>
              <w:top w:val="single" w:color="000000" w:sz="4" w:space="0"/>
              <w:left w:val="single" w:color="000000" w:sz="4" w:space="0"/>
              <w:bottom w:val="nil"/>
              <w:right w:val="single" w:color="000000" w:sz="4" w:space="0"/>
            </w:tcBorders>
            <w:shd w:val="clear" w:color="auto" w:fill="auto"/>
            <w:vAlign w:val="center"/>
          </w:tcPr>
          <w:p w14:paraId="2DAF7F5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0E1312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808400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099B0F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新型婚育文化知识宣讲人数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BBC037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8EE8B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0B4C18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4E9440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55268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21F0D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33C3F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33BCAFB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3A92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3A6A9D2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FC223E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539CE0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2C78B2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项目覆盖旗县区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04961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58B69B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789F10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8E5E8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0EF37F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A9E21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D7041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56FE2AB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DE3A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692CDCE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3EF24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8B18D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0232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新型婚育文化阵地建设</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B590C7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B4B62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84A94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62D5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4C05C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1E426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B1AD2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1943CED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C65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1559F27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6CD2E1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DFF3A3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73863F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项目覆盖影响人数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9A53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3A41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FAAEDF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34524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B36EC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0CA42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5EBB1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0E4D486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A662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70D4D4C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F289D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E4FD651">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02316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项目实施期限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D834D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77E54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131A8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A92EB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909B30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29C35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FD5B9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42C81A2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41E6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728EEEF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9E52FA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FB4ACB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C02AB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项目绩效评价</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C0A7E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2234A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72605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2026年3月底前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76CB6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2026年3月底前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86075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1F976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2D5CB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74B966D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34B65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7083A0B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B2CA100">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B10610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B22EA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E686E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57E05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F94BA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84034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AE4CC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A0C6F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AACB3A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2B676AE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5E3DD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0088436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6E0B2F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AA11D6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AD987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新型婚育文化阵地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A0840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00C3F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AC5CD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9F3F5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3CC53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46FDA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58D1E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04FB7DA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705B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50F941B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6B2BF3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603D4E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2B6C3F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引导群众正确认识国情国策树立新型婚育文化观念</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EB42E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304E3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44A27F">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F296F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14543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92B59C">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A21961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35D0B965">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6D91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2ED36132">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0ECDDF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950BE43">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52AFE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提升计生协组织覆盖面和社会影响力</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99EC9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50D25E">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35EF9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0281E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10BE98">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1D8036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E1A04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5098059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30E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597D28F9">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FDDB5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E08F52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AF3B84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探索计生协开展新型婚育文化工作模式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6FCE8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2040BB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EC2AC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C8599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B8C02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5BA4C2">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A6ACA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7D0D1DFB">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040DE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1CC78CE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56D6007">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8DE17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08F71D">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持续提升新型婚育文化的覆盖面和影响力</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63E51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A1EE66">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F1CC1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6D9D0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738A9D">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D389F8">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015CC4">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63F27C91">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19387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525DE14C">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2EEED9">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9D1048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22FCC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育龄群众满意率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7C1CB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43CA60">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7E41E6">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EC5A65A">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ACFE285">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93641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C4D297">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633D3BEF">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r w14:paraId="45304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56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AA7D9E">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86523">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050DB">
            <w:pPr>
              <w:keepNext w:val="0"/>
              <w:keepLines w:val="0"/>
              <w:pageBreakBefore w:val="0"/>
              <w:widowControl/>
              <w:suppressLineNumbers w:val="0"/>
              <w:kinsoku/>
              <w:wordWrap/>
              <w:overflowPunct/>
              <w:topLinePunct w:val="0"/>
              <w:autoSpaceDE/>
              <w:autoSpaceDN/>
              <w:bidi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99.90</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552A">
            <w:pPr>
              <w:keepNext w:val="0"/>
              <w:keepLines w:val="0"/>
              <w:pageBreakBefore w:val="0"/>
              <w:kinsoku/>
              <w:wordWrap/>
              <w:overflowPunct/>
              <w:topLinePunct w:val="0"/>
              <w:autoSpaceDE/>
              <w:autoSpaceDN/>
              <w:bidi w:val="0"/>
              <w:jc w:val="both"/>
              <w:rPr>
                <w:rFonts w:hint="eastAsia" w:ascii="宋体" w:hAnsi="宋体" w:eastAsia="宋体" w:cs="宋体"/>
                <w:i w:val="0"/>
                <w:iCs w:val="0"/>
                <w:color w:val="000000"/>
                <w:sz w:val="18"/>
                <w:szCs w:val="18"/>
                <w:u w:val="none"/>
              </w:rPr>
            </w:pPr>
          </w:p>
        </w:tc>
      </w:tr>
    </w:tbl>
    <w:p w14:paraId="24BBEB49">
      <w:pPr>
        <w:pStyle w:val="31"/>
        <w:keepNext w:val="0"/>
        <w:keepLines w:val="0"/>
        <w:pageBreakBefore w:val="0"/>
        <w:widowControl/>
        <w:kinsoku/>
        <w:wordWrap/>
        <w:overflowPunct/>
        <w:topLinePunct w:val="0"/>
        <w:autoSpaceDE/>
        <w:autoSpaceDN/>
        <w:bidi w:val="0"/>
        <w:spacing w:line="560" w:lineRule="exact"/>
        <w:jc w:val="both"/>
        <w:rPr>
          <w:rFonts w:hint="eastAsia" w:ascii="方正仿宋_GB2312" w:hAnsi="方正仿宋_GB2312" w:eastAsia="方正仿宋_GB2312" w:cs="方正仿宋_GB2312"/>
          <w:kern w:val="0"/>
          <w:sz w:val="32"/>
          <w:szCs w:val="32"/>
          <w:u w:val="none" w:color="auto"/>
          <w:lang w:val="en-US" w:eastAsia="en-US"/>
        </w:rPr>
      </w:pPr>
    </w:p>
    <w:p w14:paraId="1CF01363">
      <w:pPr>
        <w:pStyle w:val="31"/>
        <w:keepNext w:val="0"/>
        <w:keepLines w:val="0"/>
        <w:pageBreakBefore w:val="0"/>
        <w:widowControl/>
        <w:kinsoku/>
        <w:wordWrap/>
        <w:overflowPunct/>
        <w:topLinePunct w:val="0"/>
        <w:autoSpaceDE/>
        <w:autoSpaceDN/>
        <w:bidi w:val="0"/>
        <w:spacing w:line="560" w:lineRule="exact"/>
        <w:ind w:firstLine="643"/>
        <w:jc w:val="both"/>
        <w:rPr>
          <w:rFonts w:hint="eastAsia" w:ascii="方正楷体_GB2312" w:hAnsi="方正楷体_GB2312" w:eastAsia="方正楷体_GB2312" w:cs="方正楷体_GB2312"/>
          <w:b w:val="0"/>
          <w:bCs w:val="0"/>
          <w:kern w:val="0"/>
          <w:sz w:val="32"/>
          <w:szCs w:val="32"/>
          <w:u w:val="none" w:color="auto"/>
        </w:rPr>
      </w:pPr>
      <w:r>
        <w:rPr>
          <w:rFonts w:hint="eastAsia" w:ascii="方正楷体_GB2312" w:hAnsi="方正楷体_GB2312" w:eastAsia="方正楷体_GB2312" w:cs="方正楷体_GB2312"/>
          <w:b w:val="0"/>
          <w:bCs w:val="0"/>
          <w:kern w:val="0"/>
          <w:sz w:val="32"/>
          <w:szCs w:val="32"/>
          <w:u w:val="none" w:color="auto"/>
        </w:rPr>
        <w:t>（三）部门项目绩效评价结果。</w:t>
      </w:r>
    </w:p>
    <w:p w14:paraId="05F93B93">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以市委保健经费项目为例，该项目绩效评价综合得分为100分，绩效评价结果为“优”。部门项目绩效评价得分情况详见部门具体绩效评价结果。</w:t>
      </w:r>
    </w:p>
    <w:p w14:paraId="384E6900">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0"/>
        <w:jc w:val="both"/>
        <w:textAlignment w:val="baseline"/>
        <w:rPr>
          <w:rFonts w:ascii="方正小标宋简体" w:hAnsi="方正小标宋简体" w:eastAsia="方正小标宋简体" w:cs="方正小标宋简体"/>
          <w:i w:val="0"/>
          <w:iCs w:val="0"/>
          <w:caps w:val="0"/>
          <w:color w:val="000000"/>
          <w:spacing w:val="0"/>
          <w:sz w:val="44"/>
          <w:szCs w:val="44"/>
          <w:u w:val="none" w:color="auto"/>
          <w:shd w:val="clear" w:fill="FFFFFF"/>
          <w:vertAlign w:val="baseline"/>
        </w:rPr>
      </w:pPr>
    </w:p>
    <w:p w14:paraId="0A6ACD5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0"/>
        <w:jc w:val="both"/>
        <w:textAlignment w:val="baseline"/>
        <w:rPr>
          <w:rFonts w:hint="eastAsia" w:ascii="宋体" w:hAnsi="宋体" w:eastAsia="宋体" w:cs="宋体"/>
          <w:i w:val="0"/>
          <w:iCs w:val="0"/>
          <w:caps w:val="0"/>
          <w:color w:val="000000"/>
          <w:spacing w:val="0"/>
          <w:sz w:val="24"/>
          <w:szCs w:val="24"/>
          <w:u w:val="none" w:color="auto"/>
        </w:rPr>
      </w:pPr>
      <w:r>
        <w:rPr>
          <w:rFonts w:ascii="方正小标宋简体" w:hAnsi="方正小标宋简体" w:eastAsia="方正小标宋简体" w:cs="方正小标宋简体"/>
          <w:i w:val="0"/>
          <w:iCs w:val="0"/>
          <w:caps w:val="0"/>
          <w:color w:val="000000"/>
          <w:spacing w:val="0"/>
          <w:sz w:val="44"/>
          <w:szCs w:val="44"/>
          <w:u w:val="none" w:color="auto"/>
          <w:shd w:val="clear" w:fill="FFFFFF"/>
          <w:vertAlign w:val="baseline"/>
        </w:rPr>
        <w:t>2025</w:t>
      </w:r>
      <w:r>
        <w:rPr>
          <w:rFonts w:hint="eastAsia" w:ascii="方正小标宋简体" w:hAnsi="方正小标宋简体" w:eastAsia="方正小标宋简体" w:cs="方正小标宋简体"/>
          <w:i w:val="0"/>
          <w:iCs w:val="0"/>
          <w:caps w:val="0"/>
          <w:color w:val="000000"/>
          <w:spacing w:val="0"/>
          <w:sz w:val="44"/>
          <w:szCs w:val="44"/>
          <w:u w:val="none" w:color="auto"/>
          <w:shd w:val="clear" w:fill="FFFFFF"/>
          <w:vertAlign w:val="baseline"/>
        </w:rPr>
        <w:t>年</w:t>
      </w:r>
      <w:r>
        <w:rPr>
          <w:rFonts w:hint="eastAsia" w:ascii="方正小标宋简体" w:hAnsi="方正小标宋简体" w:eastAsia="方正小标宋简体" w:cs="方正小标宋简体"/>
          <w:i w:val="0"/>
          <w:iCs w:val="0"/>
          <w:caps w:val="0"/>
          <w:color w:val="000000"/>
          <w:spacing w:val="0"/>
          <w:sz w:val="44"/>
          <w:szCs w:val="44"/>
          <w:u w:val="none" w:color="auto"/>
          <w:shd w:val="clear" w:fill="FFFFFF"/>
          <w:vertAlign w:val="baseline"/>
          <w:lang w:val="en-US"/>
        </w:rPr>
        <w:t>度</w:t>
      </w:r>
      <w:r>
        <w:rPr>
          <w:rFonts w:hint="eastAsia" w:ascii="方正小标宋简体" w:hAnsi="方正小标宋简体" w:eastAsia="方正小标宋简体" w:cs="方正小标宋简体"/>
          <w:i w:val="0"/>
          <w:iCs w:val="0"/>
          <w:caps w:val="0"/>
          <w:color w:val="000000"/>
          <w:spacing w:val="0"/>
          <w:sz w:val="44"/>
          <w:szCs w:val="44"/>
          <w:u w:val="none" w:color="auto"/>
          <w:shd w:val="clear" w:fill="FFFFFF"/>
          <w:vertAlign w:val="baseline"/>
        </w:rPr>
        <w:t>市保健委经费项目绩效自评报告</w:t>
      </w:r>
    </w:p>
    <w:p w14:paraId="14DB719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3" w:firstLineChars="200"/>
        <w:jc w:val="both"/>
        <w:rPr>
          <w:rFonts w:hint="eastAsia" w:ascii="宋体" w:hAnsi="宋体" w:eastAsia="宋体" w:cs="宋体"/>
          <w:i w:val="0"/>
          <w:iCs w:val="0"/>
          <w:caps w:val="0"/>
          <w:color w:val="000000"/>
          <w:spacing w:val="0"/>
          <w:sz w:val="24"/>
          <w:szCs w:val="24"/>
          <w:u w:val="none" w:color="auto"/>
        </w:rPr>
      </w:pPr>
      <w:r>
        <w:rPr>
          <w:rFonts w:ascii="黑体" w:hAnsi="宋体" w:eastAsia="黑体" w:cs="黑体"/>
          <w:b/>
          <w:bCs/>
          <w:i w:val="0"/>
          <w:iCs w:val="0"/>
          <w:caps w:val="0"/>
          <w:color w:val="000000"/>
          <w:spacing w:val="0"/>
          <w:sz w:val="32"/>
          <w:szCs w:val="32"/>
          <w:u w:val="none" w:color="auto"/>
          <w:shd w:val="clear" w:fill="FFFFFF"/>
          <w:lang w:val="en-US"/>
        </w:rPr>
        <w:t>一、</w:t>
      </w:r>
      <w:r>
        <w:rPr>
          <w:rFonts w:hint="default" w:ascii="黑体" w:hAnsi="宋体" w:eastAsia="黑体" w:cs="黑体"/>
          <w:b/>
          <w:bCs/>
          <w:i w:val="0"/>
          <w:iCs w:val="0"/>
          <w:caps w:val="0"/>
          <w:color w:val="000000"/>
          <w:spacing w:val="0"/>
          <w:sz w:val="32"/>
          <w:szCs w:val="32"/>
          <w:u w:val="none" w:color="auto"/>
          <w:shd w:val="clear" w:fill="FFFFFF"/>
        </w:rPr>
        <w:t>项目</w:t>
      </w:r>
      <w:r>
        <w:rPr>
          <w:rFonts w:hint="default" w:ascii="黑体" w:hAnsi="宋体" w:eastAsia="黑体" w:cs="黑体"/>
          <w:b/>
          <w:bCs/>
          <w:i w:val="0"/>
          <w:iCs w:val="0"/>
          <w:caps w:val="0"/>
          <w:color w:val="000000"/>
          <w:spacing w:val="0"/>
          <w:sz w:val="32"/>
          <w:szCs w:val="32"/>
          <w:u w:val="none" w:color="auto"/>
          <w:shd w:val="clear" w:fill="FFFFFF"/>
          <w:lang w:val="en-US"/>
        </w:rPr>
        <w:t>基本</w:t>
      </w:r>
      <w:r>
        <w:rPr>
          <w:rFonts w:hint="default" w:ascii="黑体" w:hAnsi="宋体" w:eastAsia="黑体" w:cs="黑体"/>
          <w:b/>
          <w:bCs/>
          <w:i w:val="0"/>
          <w:iCs w:val="0"/>
          <w:caps w:val="0"/>
          <w:color w:val="000000"/>
          <w:spacing w:val="0"/>
          <w:sz w:val="32"/>
          <w:szCs w:val="32"/>
          <w:u w:val="none" w:color="auto"/>
          <w:shd w:val="clear" w:fill="FFFFFF"/>
        </w:rPr>
        <w:t>情况</w:t>
      </w:r>
    </w:p>
    <w:p w14:paraId="5C318A7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i w:val="0"/>
          <w:iCs w:val="0"/>
          <w:caps w:val="0"/>
          <w:color w:val="000000"/>
          <w:spacing w:val="0"/>
          <w:sz w:val="32"/>
          <w:szCs w:val="32"/>
          <w:u w:val="none" w:color="auto"/>
        </w:rPr>
      </w:pPr>
      <w:r>
        <w:rPr>
          <w:rFonts w:hint="eastAsia" w:ascii="方正楷体_GB2312" w:hAnsi="方正楷体_GB2312" w:eastAsia="方正楷体_GB2312" w:cs="方正楷体_GB2312"/>
          <w:i w:val="0"/>
          <w:iCs w:val="0"/>
          <w:caps w:val="0"/>
          <w:color w:val="000000"/>
          <w:spacing w:val="0"/>
          <w:sz w:val="32"/>
          <w:szCs w:val="32"/>
          <w:u w:val="none" w:color="auto"/>
          <w:shd w:val="clear" w:fill="FFFFFF"/>
          <w:vertAlign w:val="baseline"/>
        </w:rPr>
        <w:t>（一）项目基本情况简介。</w:t>
      </w:r>
    </w:p>
    <w:p w14:paraId="6EF5E3F2">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巴彦淖尔市干部保健日常工作经费。</w:t>
      </w:r>
    </w:p>
    <w:p w14:paraId="3E9DE5C8">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i w:val="0"/>
          <w:iCs w:val="0"/>
          <w:caps w:val="0"/>
          <w:color w:val="000000"/>
          <w:spacing w:val="0"/>
          <w:sz w:val="32"/>
          <w:szCs w:val="32"/>
          <w:u w:val="none" w:color="auto"/>
          <w:shd w:val="clear" w:fill="FFFFFF"/>
          <w:vertAlign w:val="baseline"/>
        </w:rPr>
      </w:pP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lang w:val="en-US"/>
        </w:rPr>
        <w:t>二</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）绩效目标设定及</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lang w:val="en-US"/>
        </w:rPr>
        <w:t>指标</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完成情况。</w:t>
      </w:r>
    </w:p>
    <w:p w14:paraId="70A03BE6">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年度绩效目标：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p w14:paraId="486FB7F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年度绩效目标完成情况：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p w14:paraId="7E5C2A6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480"/>
        <w:jc w:val="both"/>
        <w:rPr>
          <w:rFonts w:hint="eastAsia" w:ascii="宋体" w:hAnsi="宋体" w:eastAsia="宋体" w:cs="宋体"/>
          <w:i w:val="0"/>
          <w:iCs w:val="0"/>
          <w:caps w:val="0"/>
          <w:color w:val="000000"/>
          <w:spacing w:val="0"/>
          <w:sz w:val="24"/>
          <w:szCs w:val="24"/>
          <w:u w:val="none" w:color="auto"/>
        </w:rPr>
      </w:pPr>
      <w:r>
        <w:rPr>
          <w:rFonts w:hint="default" w:ascii="黑体" w:hAnsi="宋体" w:eastAsia="黑体" w:cs="黑体"/>
          <w:b/>
          <w:bCs/>
          <w:i w:val="0"/>
          <w:iCs w:val="0"/>
          <w:caps w:val="0"/>
          <w:color w:val="000000"/>
          <w:spacing w:val="0"/>
          <w:sz w:val="32"/>
          <w:szCs w:val="32"/>
          <w:u w:val="none" w:color="auto"/>
          <w:shd w:val="clear" w:fill="FFFFFF"/>
          <w:lang w:val="en-US"/>
        </w:rPr>
        <w:t>二、绩效自评工作情况</w:t>
      </w:r>
    </w:p>
    <w:p w14:paraId="75AA131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i w:val="0"/>
          <w:iCs w:val="0"/>
          <w:caps w:val="0"/>
          <w:color w:val="000000"/>
          <w:spacing w:val="0"/>
          <w:sz w:val="32"/>
          <w:szCs w:val="32"/>
          <w:u w:val="none" w:color="auto"/>
          <w:shd w:val="clear" w:fill="FFFFFF"/>
          <w:vertAlign w:val="baseline"/>
        </w:rPr>
      </w:pP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lang w:val="en-US"/>
        </w:rPr>
        <w:t>一</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）绩效自评目的。</w:t>
      </w:r>
    </w:p>
    <w:p w14:paraId="76F105D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1.我单位按照绩效考核办法，结合实际，制定本单位绩效管理目标，确定绩效考核内容及标准。 2.规范绩效考核的程序及标准，做到科学、合理、公正。 3.建立绩效管理制度，做到绩效考核的全面性，提高绩效考核的可操作性，为绩效管理制定有效的考核制度。 4.规范和加强财政项目支出管理，建立科学、规范的财政支出绩效评价管理体系，提高财政资金使用效益。</w:t>
      </w:r>
    </w:p>
    <w:p w14:paraId="5857CC9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i w:val="0"/>
          <w:iCs w:val="0"/>
          <w:caps w:val="0"/>
          <w:color w:val="000000"/>
          <w:spacing w:val="0"/>
          <w:sz w:val="32"/>
          <w:szCs w:val="32"/>
          <w:u w:val="none" w:color="auto"/>
          <w:shd w:val="clear" w:fill="FFFFFF"/>
          <w:vertAlign w:val="baseline"/>
        </w:rPr>
      </w:pP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lang w:val="en-US"/>
        </w:rPr>
        <w:t>二</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）项目资金投入情况。</w:t>
      </w:r>
    </w:p>
    <w:p w14:paraId="60A0219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本项目资金年初预算数95万元，其中：财政拨款95万元，其他资金0万元。</w:t>
      </w:r>
    </w:p>
    <w:p w14:paraId="04B90F6B">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本项目资金年度调整金额-30.41万元，其中：财政拨款-30.41万元，其他资金0万元。</w:t>
      </w:r>
    </w:p>
    <w:p w14:paraId="5A79C8A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本项目资金变动后预算数64.59万元，其中：财政拨款64.59万元，其他资金0万元。</w:t>
      </w:r>
    </w:p>
    <w:p w14:paraId="0E66E386">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本项目资金全年执行数64.59万元、执行率为100%，其中：财政拨款64.59万元，其他资金0万元。</w:t>
      </w:r>
    </w:p>
    <w:p w14:paraId="47ACE79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i w:val="0"/>
          <w:iCs w:val="0"/>
          <w:caps w:val="0"/>
          <w:color w:val="000000"/>
          <w:spacing w:val="0"/>
          <w:sz w:val="32"/>
          <w:szCs w:val="32"/>
          <w:u w:val="none" w:color="auto"/>
          <w:shd w:val="clear" w:fill="FFFFFF"/>
          <w:vertAlign w:val="baseline"/>
        </w:rPr>
      </w:pP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lang w:val="en-US"/>
        </w:rPr>
        <w:t>三</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）项目资金产出情况。</w:t>
      </w:r>
    </w:p>
    <w:p w14:paraId="3FD1C3F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 xml:space="preserve">项目支出财政资金64.59万元。 </w:t>
      </w:r>
      <w:r>
        <w:rPr>
          <w:rFonts w:hint="eastAsia" w:ascii="仿宋_GB2312" w:hAnsi="仿宋_GB2312" w:eastAsia="仿宋_GB2312" w:cs="仿宋_GB2312"/>
          <w:kern w:val="2"/>
          <w:sz w:val="32"/>
          <w:szCs w:val="32"/>
          <w:highlight w:val="none"/>
          <w:lang w:val="en-US" w:eastAsia="zh-CN" w:bidi="ar-SA"/>
        </w:rPr>
        <w:t>1.</w:t>
      </w:r>
      <w:r>
        <w:rPr>
          <w:rFonts w:hint="default" w:ascii="仿宋_GB2312" w:hAnsi="仿宋_GB2312" w:eastAsia="仿宋_GB2312" w:cs="仿宋_GB2312"/>
          <w:kern w:val="2"/>
          <w:sz w:val="32"/>
          <w:szCs w:val="32"/>
          <w:highlight w:val="none"/>
          <w:lang w:val="en-US" w:eastAsia="zh-CN" w:bidi="ar-SA"/>
        </w:rPr>
        <w:t xml:space="preserve">产出指标完成情况。 产出指标总分值50分，得分50分，指标全部完成。 </w:t>
      </w:r>
      <w:r>
        <w:rPr>
          <w:rFonts w:hint="eastAsia" w:ascii="仿宋_GB2312" w:hAnsi="仿宋_GB2312" w:eastAsia="仿宋_GB2312" w:cs="仿宋_GB2312"/>
          <w:kern w:val="2"/>
          <w:sz w:val="32"/>
          <w:szCs w:val="32"/>
          <w:highlight w:val="none"/>
          <w:lang w:val="en-US" w:eastAsia="zh-CN" w:bidi="ar-SA"/>
        </w:rPr>
        <w:t>2.</w:t>
      </w:r>
      <w:r>
        <w:rPr>
          <w:rFonts w:hint="default" w:ascii="仿宋_GB2312" w:hAnsi="仿宋_GB2312" w:eastAsia="仿宋_GB2312" w:cs="仿宋_GB2312"/>
          <w:kern w:val="2"/>
          <w:sz w:val="32"/>
          <w:szCs w:val="32"/>
          <w:highlight w:val="none"/>
          <w:lang w:val="en-US" w:eastAsia="zh-CN" w:bidi="ar-SA"/>
        </w:rPr>
        <w:t>效益指标完成情况。 效益指标总分值30分，得分30分，指标全部完成。</w:t>
      </w:r>
      <w:r>
        <w:rPr>
          <w:rFonts w:hint="eastAsia" w:ascii="仿宋_GB2312" w:hAnsi="仿宋_GB2312" w:eastAsia="仿宋_GB2312" w:cs="仿宋_GB2312"/>
          <w:kern w:val="2"/>
          <w:sz w:val="32"/>
          <w:szCs w:val="32"/>
          <w:highlight w:val="none"/>
          <w:lang w:val="en-US" w:eastAsia="zh-CN" w:bidi="ar-SA"/>
        </w:rPr>
        <w:t>3.</w:t>
      </w:r>
      <w:r>
        <w:rPr>
          <w:rFonts w:hint="default" w:ascii="仿宋_GB2312" w:hAnsi="仿宋_GB2312" w:eastAsia="仿宋_GB2312" w:cs="仿宋_GB2312"/>
          <w:kern w:val="2"/>
          <w:sz w:val="32"/>
          <w:szCs w:val="32"/>
          <w:highlight w:val="none"/>
          <w:lang w:val="en-US" w:eastAsia="zh-CN" w:bidi="ar-SA"/>
        </w:rPr>
        <w:t xml:space="preserve">满意度指标完成情况。 满意度指标总分值10分，得分10分，指标全部完成。 </w:t>
      </w:r>
      <w:r>
        <w:rPr>
          <w:rFonts w:hint="eastAsia" w:ascii="仿宋_GB2312" w:hAnsi="仿宋_GB2312" w:eastAsia="仿宋_GB2312" w:cs="仿宋_GB2312"/>
          <w:kern w:val="2"/>
          <w:sz w:val="32"/>
          <w:szCs w:val="32"/>
          <w:highlight w:val="none"/>
          <w:lang w:val="en-US" w:eastAsia="zh-CN" w:bidi="ar-SA"/>
        </w:rPr>
        <w:t>4.</w:t>
      </w:r>
      <w:r>
        <w:rPr>
          <w:rFonts w:hint="default" w:ascii="仿宋_GB2312" w:hAnsi="仿宋_GB2312" w:eastAsia="仿宋_GB2312" w:cs="仿宋_GB2312"/>
          <w:kern w:val="2"/>
          <w:sz w:val="32"/>
          <w:szCs w:val="32"/>
          <w:highlight w:val="none"/>
          <w:lang w:val="en-US" w:eastAsia="zh-CN" w:bidi="ar-SA"/>
        </w:rPr>
        <w:t>自评得分情况。 项目自评总分值100分，得分100分。</w:t>
      </w:r>
    </w:p>
    <w:p w14:paraId="367E7EC8">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i w:val="0"/>
          <w:iCs w:val="0"/>
          <w:caps w:val="0"/>
          <w:color w:val="000000"/>
          <w:spacing w:val="0"/>
          <w:sz w:val="32"/>
          <w:szCs w:val="32"/>
          <w:u w:val="none" w:color="auto"/>
          <w:shd w:val="clear" w:fill="FFFFFF"/>
          <w:vertAlign w:val="baseline"/>
        </w:rPr>
      </w:pP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lang w:val="en-US"/>
        </w:rPr>
        <w:t>四</w:t>
      </w:r>
      <w:r>
        <w:rPr>
          <w:rFonts w:hint="default" w:ascii="方正楷体_GB2312" w:hAnsi="方正楷体_GB2312" w:eastAsia="方正楷体_GB2312" w:cs="方正楷体_GB2312"/>
          <w:i w:val="0"/>
          <w:iCs w:val="0"/>
          <w:caps w:val="0"/>
          <w:color w:val="000000"/>
          <w:spacing w:val="0"/>
          <w:sz w:val="32"/>
          <w:szCs w:val="32"/>
          <w:u w:val="none" w:color="auto"/>
          <w:shd w:val="clear" w:fill="FFFFFF"/>
          <w:vertAlign w:val="baseline"/>
        </w:rPr>
        <w:t>）项目资金管理情况。</w:t>
      </w:r>
    </w:p>
    <w:p w14:paraId="3B779AE3">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textAlignment w:val="baseline"/>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1.资金到位情况。项目资金到位及时，到位率100%。 2.资金使用情况。项目资金已支出，严格执行了财务管理制度，财务处理及时，会计核算规范。 3.项目组织实施情况。我市通过干部保健体检，发现健康危险因素，根据健康状况进行分类管理，并对健康的保健对象，进行定期监测和生活方式指导服务，给予门诊、住院或转院服务，减少健康危险因素，降低慢性病发病率。 4.项目效益情况。项目产生了良好的社会效益，为全市的卫生健康事业做出了良好的贡献。</w:t>
      </w:r>
    </w:p>
    <w:p w14:paraId="44AE618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480"/>
        <w:jc w:val="both"/>
        <w:rPr>
          <w:rFonts w:hint="eastAsia" w:ascii="宋体" w:hAnsi="宋体" w:eastAsia="宋体" w:cs="宋体"/>
          <w:i w:val="0"/>
          <w:iCs w:val="0"/>
          <w:caps w:val="0"/>
          <w:color w:val="000000"/>
          <w:spacing w:val="0"/>
          <w:sz w:val="24"/>
          <w:szCs w:val="24"/>
          <w:u w:val="none" w:color="auto"/>
        </w:rPr>
      </w:pPr>
      <w:r>
        <w:rPr>
          <w:rFonts w:hint="default" w:ascii="黑体" w:hAnsi="宋体" w:eastAsia="黑体" w:cs="黑体"/>
          <w:b/>
          <w:bCs/>
          <w:i w:val="0"/>
          <w:iCs w:val="0"/>
          <w:caps w:val="0"/>
          <w:color w:val="000000"/>
          <w:spacing w:val="0"/>
          <w:sz w:val="32"/>
          <w:szCs w:val="32"/>
          <w:u w:val="none" w:color="auto"/>
          <w:shd w:val="clear" w:fill="FFFFFF"/>
          <w:lang w:val="en-US"/>
        </w:rPr>
        <w:t>三、项目绩效情况</w:t>
      </w:r>
    </w:p>
    <w:p w14:paraId="155C1326">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1.产出指标完成情况</w:t>
      </w:r>
    </w:p>
    <w:p w14:paraId="0B27C84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（1）数量指标</w:t>
      </w:r>
    </w:p>
    <w:p w14:paraId="19DED0C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1）保健体检人数(人)，目标值210，完成值246，分值5，得分5。</w:t>
      </w:r>
    </w:p>
    <w:p w14:paraId="06E21083">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2）重大活动医疗保健任务(次)，目标值1，完成值17，分值5，得分5。</w:t>
      </w:r>
    </w:p>
    <w:p w14:paraId="501E969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3）配置保健药箱(份)，目标值50，完成值54，分值5，得分5。</w:t>
      </w:r>
    </w:p>
    <w:p w14:paraId="3CFE43C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（2）质量指标</w:t>
      </w:r>
    </w:p>
    <w:p w14:paraId="6D1B8CE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1）干部保健体检率(%)，目标值70，完成值81，分值5，得分5。</w:t>
      </w:r>
    </w:p>
    <w:p w14:paraId="382EAB42">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2）干部市外复查接待率(%)，目标值100，完成值100，分值5，得分5。</w:t>
      </w:r>
    </w:p>
    <w:p w14:paraId="3E719C9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3）重大活动医疗保健任务完成率(%)，目标值100，完成值100，分值5，得分5。</w:t>
      </w:r>
    </w:p>
    <w:p w14:paraId="17746ACB">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（3）时效指标</w:t>
      </w:r>
    </w:p>
    <w:p w14:paraId="7C45D63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1）整体工作完成时间，目标值2025年12月前，完成值2025年12月前，分值5，得分5。</w:t>
      </w:r>
    </w:p>
    <w:p w14:paraId="1DEBFB4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2）资金拨付及时率(%)，目标值100，完成值100，分值5，得分5。</w:t>
      </w:r>
    </w:p>
    <w:p w14:paraId="242D9EB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（4）成本指标</w:t>
      </w:r>
    </w:p>
    <w:p w14:paraId="04083F86">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1）人均干部保健体检成本(元/人)，目标值3200，完成值2495，分值4，得分4。</w:t>
      </w:r>
    </w:p>
    <w:p w14:paraId="3478C7A2">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2）保健药箱配置成本(元/份)，目标值300，完成值296.64，分值3，得分3。</w:t>
      </w:r>
    </w:p>
    <w:p w14:paraId="73F283E3">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3）人均市外复查陪同出差成本(元/日)，目标值1500，完成值0，分值3，得分3。</w:t>
      </w:r>
    </w:p>
    <w:p w14:paraId="52E67CB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2.效益指标完成情况</w:t>
      </w:r>
    </w:p>
    <w:p w14:paraId="2189A33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（5）社会效益</w:t>
      </w:r>
    </w:p>
    <w:p w14:paraId="22B727B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1）重大活动医疗保健水平，目标值有所提高，完成值有所提高，分值15，得分15。</w:t>
      </w:r>
    </w:p>
    <w:p w14:paraId="30487A6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（6）可持续影响</w:t>
      </w:r>
    </w:p>
    <w:p w14:paraId="5A9E1A9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1）项目持续发挥效益，目标值长期，完成值长期，分值15，得分15。</w:t>
      </w:r>
    </w:p>
    <w:p w14:paraId="580B192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3.满意度指标完成情况</w:t>
      </w:r>
    </w:p>
    <w:p w14:paraId="2821B0B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（7）服务对象满意度</w:t>
      </w:r>
    </w:p>
    <w:p w14:paraId="62D68A76">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1）主管部门满意度(%)，目标值98，完成值100，分值5，得分5。</w:t>
      </w:r>
    </w:p>
    <w:p w14:paraId="13877362">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2）保健对象满意度(%)，目标值100，完成值100，分值5，得分5。</w:t>
      </w:r>
    </w:p>
    <w:p w14:paraId="064EE9E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 自评得分情况</w:t>
      </w:r>
    </w:p>
    <w:p w14:paraId="13F3F90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本项目绩效自评得分100分，等级为优。</w:t>
      </w:r>
    </w:p>
    <w:p w14:paraId="4622FBD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3" w:firstLineChars="200"/>
        <w:jc w:val="both"/>
        <w:rPr>
          <w:rFonts w:hint="eastAsia" w:ascii="黑体" w:hAnsi="宋体" w:eastAsia="黑体" w:cs="黑体"/>
          <w:b/>
          <w:bCs/>
          <w:i w:val="0"/>
          <w:iCs w:val="0"/>
          <w:caps w:val="0"/>
          <w:color w:val="000000"/>
          <w:spacing w:val="0"/>
          <w:sz w:val="32"/>
          <w:szCs w:val="32"/>
          <w:u w:val="none" w:color="auto"/>
          <w:shd w:val="clear" w:fill="FFFFFF"/>
          <w:lang w:val="en-US"/>
        </w:rPr>
      </w:pPr>
      <w:r>
        <w:rPr>
          <w:rFonts w:hint="eastAsia" w:ascii="黑体" w:hAnsi="宋体" w:eastAsia="黑体" w:cs="黑体"/>
          <w:b/>
          <w:bCs/>
          <w:i w:val="0"/>
          <w:iCs w:val="0"/>
          <w:caps w:val="0"/>
          <w:color w:val="000000"/>
          <w:spacing w:val="0"/>
          <w:sz w:val="32"/>
          <w:szCs w:val="32"/>
          <w:u w:val="none" w:color="auto"/>
          <w:shd w:val="clear" w:fill="FFFFFF"/>
          <w:lang w:val="en-US" w:eastAsia="zh-CN"/>
        </w:rPr>
        <w:t>四、</w:t>
      </w:r>
      <w:r>
        <w:rPr>
          <w:rFonts w:hint="eastAsia" w:ascii="黑体" w:hAnsi="宋体" w:eastAsia="黑体" w:cs="黑体"/>
          <w:b/>
          <w:bCs/>
          <w:i w:val="0"/>
          <w:iCs w:val="0"/>
          <w:caps w:val="0"/>
          <w:color w:val="000000"/>
          <w:spacing w:val="0"/>
          <w:sz w:val="32"/>
          <w:szCs w:val="32"/>
          <w:u w:val="none" w:color="auto"/>
          <w:shd w:val="clear" w:fill="FFFFFF"/>
          <w:lang w:val="en-US"/>
        </w:rPr>
        <w:t>绩效自评结果拟应用和公开情况</w:t>
      </w:r>
    </w:p>
    <w:p w14:paraId="645F31E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both"/>
        <w:textAlignment w:val="baseline"/>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绩效自评结果作为下年度预算编制、完善政策和改进管理的重要依据。公开方面，报送财政部门，主动接受监督。</w:t>
      </w:r>
    </w:p>
    <w:p w14:paraId="24D7377A">
      <w:pPr>
        <w:pStyle w:val="3"/>
        <w:keepNext w:val="0"/>
        <w:keepLines w:val="0"/>
        <w:pageBreakBefore w:val="0"/>
        <w:widowControl/>
        <w:kinsoku/>
        <w:wordWrap/>
        <w:overflowPunct/>
        <w:topLinePunct w:val="0"/>
        <w:autoSpaceDE/>
        <w:autoSpaceDN/>
        <w:bidi w:val="0"/>
        <w:spacing w:before="0" w:after="0" w:line="560" w:lineRule="exact"/>
        <w:ind w:left="0" w:right="0"/>
        <w:jc w:val="center"/>
        <w:rPr>
          <w:rFonts w:ascii="Times New Roman" w:hAnsi="Times New Roman" w:eastAsia="Times New Roman" w:cs="Times New Roman"/>
          <w:b/>
          <w:bCs/>
          <w:kern w:val="0"/>
          <w:sz w:val="36"/>
          <w:szCs w:val="36"/>
          <w:u w:val="none" w:color="auto"/>
        </w:rPr>
      </w:pPr>
      <w:r>
        <w:rPr>
          <w:rFonts w:ascii="方正小标宋简体" w:hAnsi="方正小标宋简体" w:eastAsia="方正小标宋简体" w:cs="方正小标宋简体"/>
          <w:kern w:val="0"/>
          <w:sz w:val="36"/>
          <w:szCs w:val="36"/>
          <w:u w:val="none" w:color="auto"/>
        </w:rPr>
        <w:t>第三部分</w:t>
      </w:r>
      <w:r>
        <w:rPr>
          <w:rFonts w:ascii="Times New Roman" w:hAnsi="Times New Roman" w:eastAsia="Times New Roman" w:cs="Times New Roman"/>
          <w:kern w:val="0"/>
          <w:sz w:val="36"/>
          <w:szCs w:val="36"/>
          <w:u w:val="none" w:color="auto"/>
        </w:rPr>
        <w:t> </w:t>
      </w:r>
      <w:r>
        <w:rPr>
          <w:rFonts w:ascii="方正小标宋简体" w:hAnsi="方正小标宋简体" w:eastAsia="方正小标宋简体" w:cs="方正小标宋简体"/>
          <w:b w:val="0"/>
          <w:bCs w:val="0"/>
          <w:kern w:val="0"/>
          <w:sz w:val="36"/>
          <w:szCs w:val="36"/>
          <w:u w:val="none" w:color="auto"/>
        </w:rPr>
        <w:t xml:space="preserve"> </w:t>
      </w:r>
      <w:r>
        <w:rPr>
          <w:rFonts w:ascii="方正小标宋简体" w:hAnsi="方正小标宋简体" w:eastAsia="方正小标宋简体" w:cs="方正小标宋简体"/>
          <w:kern w:val="0"/>
          <w:sz w:val="36"/>
          <w:szCs w:val="36"/>
          <w:u w:val="none" w:color="auto"/>
        </w:rPr>
        <w:t>名词解释</w:t>
      </w:r>
    </w:p>
    <w:p w14:paraId="2412910C">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一、财政拨款收入：</w:t>
      </w:r>
      <w:r>
        <w:rPr>
          <w:rFonts w:hint="eastAsia" w:ascii="仿宋_GB2312" w:hAnsi="仿宋_GB2312" w:eastAsia="仿宋_GB2312" w:cs="仿宋_GB2312"/>
          <w:kern w:val="2"/>
          <w:sz w:val="32"/>
          <w:szCs w:val="32"/>
          <w:highlight w:val="none"/>
          <w:lang w:val="en-US" w:eastAsia="zh-CN" w:bidi="ar-SA"/>
        </w:rPr>
        <w:t>从同级财政部门取得的各类财政拨款，包括一般公共预算财政拨款、政府性基金预算财政拨款、国有资本经营预算财政拨款。</w:t>
      </w:r>
    </w:p>
    <w:p w14:paraId="65171C85">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二、上级补助收入：</w:t>
      </w:r>
      <w:r>
        <w:rPr>
          <w:rFonts w:hint="eastAsia" w:ascii="仿宋_GB2312" w:hAnsi="仿宋_GB2312" w:eastAsia="仿宋_GB2312" w:cs="仿宋_GB2312"/>
          <w:kern w:val="2"/>
          <w:sz w:val="32"/>
          <w:szCs w:val="32"/>
          <w:highlight w:val="none"/>
          <w:lang w:val="en-US" w:eastAsia="zh-CN" w:bidi="ar-SA"/>
        </w:rPr>
        <w:t>指事业单位从主管部门和上级单位取得的非财政补助收入。</w:t>
      </w:r>
    </w:p>
    <w:p w14:paraId="6EB3895F">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三、事业收入：</w:t>
      </w:r>
      <w:r>
        <w:rPr>
          <w:rFonts w:hint="eastAsia" w:ascii="仿宋_GB2312" w:hAnsi="仿宋_GB2312" w:eastAsia="仿宋_GB2312" w:cs="仿宋_GB2312"/>
          <w:kern w:val="2"/>
          <w:sz w:val="32"/>
          <w:szCs w:val="32"/>
          <w:highlight w:val="none"/>
          <w:lang w:val="en-US" w:eastAsia="zh-CN" w:bidi="ar-SA"/>
        </w:rPr>
        <w:t>指事业单位开展专业业务活动及其辅助活动取得的收入。</w:t>
      </w:r>
    </w:p>
    <w:p w14:paraId="38B4FC18">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四、经营收入：</w:t>
      </w:r>
      <w:r>
        <w:rPr>
          <w:rFonts w:hint="eastAsia" w:ascii="仿宋_GB2312" w:hAnsi="仿宋_GB2312" w:eastAsia="仿宋_GB2312" w:cs="仿宋_GB2312"/>
          <w:kern w:val="2"/>
          <w:sz w:val="32"/>
          <w:szCs w:val="32"/>
          <w:highlight w:val="none"/>
          <w:lang w:val="en-US" w:eastAsia="zh-CN" w:bidi="ar-SA"/>
        </w:rPr>
        <w:t>指事业单位在专业业务活动及其辅助活动之外开展非独立核算经营活动取得的收入。</w:t>
      </w:r>
    </w:p>
    <w:p w14:paraId="7C6C060E">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五、附属单位上缴收入：</w:t>
      </w:r>
      <w:r>
        <w:rPr>
          <w:rFonts w:hint="eastAsia" w:ascii="仿宋_GB2312" w:hAnsi="仿宋_GB2312" w:eastAsia="仿宋_GB2312" w:cs="仿宋_GB2312"/>
          <w:kern w:val="2"/>
          <w:sz w:val="32"/>
          <w:szCs w:val="32"/>
          <w:highlight w:val="none"/>
          <w:lang w:val="en-US" w:eastAsia="zh-CN" w:bidi="ar-SA"/>
        </w:rPr>
        <w:t>指事业单位取得附属独立核算单位按照有关规定上缴的收入。</w:t>
      </w:r>
    </w:p>
    <w:p w14:paraId="06F52D40">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六、其他收入：</w:t>
      </w:r>
      <w:r>
        <w:rPr>
          <w:rFonts w:hint="eastAsia" w:ascii="仿宋_GB2312" w:hAnsi="仿宋_GB2312" w:eastAsia="仿宋_GB2312" w:cs="仿宋_GB2312"/>
          <w:kern w:val="2"/>
          <w:sz w:val="32"/>
          <w:szCs w:val="32"/>
          <w:highlight w:val="none"/>
          <w:lang w:val="en-US" w:eastAsia="zh-CN" w:bidi="ar-SA"/>
        </w:rPr>
        <w:t>取得的除上述财政拨款收入、上级补助收入、事业收入、经营收入、附属单位上缴收入等以外的各项收入。</w:t>
      </w:r>
    </w:p>
    <w:p w14:paraId="574A467C">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七、使用非财政拨款结余（含专用结余）：</w:t>
      </w:r>
      <w:r>
        <w:rPr>
          <w:rFonts w:hint="eastAsia" w:ascii="仿宋_GB2312" w:hAnsi="仿宋_GB2312" w:eastAsia="仿宋_GB2312" w:cs="仿宋_GB2312"/>
          <w:kern w:val="2"/>
          <w:sz w:val="32"/>
          <w:szCs w:val="32"/>
          <w:highlight w:val="none"/>
          <w:lang w:val="en-US" w:eastAsia="zh-CN" w:bidi="ar-SA"/>
        </w:rPr>
        <w:t>指事业单位按照预算管理要求使用非财政拨款结余弥补收支差额的金额，以及使用专用结余安排支出的金额。</w:t>
      </w:r>
    </w:p>
    <w:p w14:paraId="3060C265">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八、年初结转和结余：</w:t>
      </w:r>
      <w:r>
        <w:rPr>
          <w:rFonts w:hint="eastAsia" w:ascii="仿宋_GB2312" w:hAnsi="仿宋_GB2312" w:eastAsia="仿宋_GB2312" w:cs="仿宋_GB2312"/>
          <w:kern w:val="2"/>
          <w:sz w:val="32"/>
          <w:szCs w:val="32"/>
          <w:highlight w:val="none"/>
          <w:lang w:val="en-US" w:eastAsia="zh-CN" w:bidi="ar-SA"/>
        </w:rPr>
        <w:t>指单位上年结转本年使用的基本支出结转、项目支出结转和结余、经营结余。</w:t>
      </w:r>
    </w:p>
    <w:p w14:paraId="2E834470">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九、结余分配：</w:t>
      </w:r>
      <w:r>
        <w:rPr>
          <w:rFonts w:hint="eastAsia" w:ascii="仿宋_GB2312" w:hAnsi="仿宋_GB2312" w:eastAsia="仿宋_GB2312" w:cs="仿宋_GB2312"/>
          <w:kern w:val="2"/>
          <w:sz w:val="32"/>
          <w:szCs w:val="32"/>
          <w:highlight w:val="none"/>
          <w:lang w:val="en-US" w:eastAsia="zh-CN" w:bidi="ar-SA"/>
        </w:rPr>
        <w:t>指单位按规定缴纳企业所得税以及从非财政拨款结余或经营结余中提取各类结余的情况。</w:t>
      </w:r>
    </w:p>
    <w:p w14:paraId="566D7B23">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十、年末结转和结余资金：</w:t>
      </w:r>
      <w:r>
        <w:rPr>
          <w:rFonts w:hint="eastAsia" w:ascii="仿宋_GB2312" w:hAnsi="仿宋_GB2312" w:eastAsia="仿宋_GB2312" w:cs="仿宋_GB2312"/>
          <w:kern w:val="2"/>
          <w:sz w:val="32"/>
          <w:szCs w:val="32"/>
          <w:highlight w:val="none"/>
          <w:lang w:val="en-US" w:eastAsia="zh-CN" w:bidi="ar-SA"/>
        </w:rPr>
        <w:t>指单位结转下年的基本支出结转、项目支出结转和结余、经营结余。</w:t>
      </w:r>
    </w:p>
    <w:p w14:paraId="59E73302">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十一、基本支出：</w:t>
      </w:r>
      <w:r>
        <w:rPr>
          <w:rFonts w:hint="eastAsia" w:ascii="仿宋_GB2312" w:hAnsi="仿宋_GB2312" w:eastAsia="仿宋_GB2312" w:cs="仿宋_GB2312"/>
          <w:kern w:val="2"/>
          <w:sz w:val="32"/>
          <w:szCs w:val="32"/>
          <w:highlight w:val="none"/>
          <w:lang w:val="en-US" w:eastAsia="zh-CN" w:bidi="ar-SA"/>
        </w:rPr>
        <w:t>指为保障机构正常运转、完成日常工作任务所发生的支出，包括人员经费和公用经费。</w:t>
      </w:r>
    </w:p>
    <w:p w14:paraId="7EAC3ABB">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十二、项目支出：</w:t>
      </w:r>
      <w:r>
        <w:rPr>
          <w:rFonts w:hint="eastAsia" w:ascii="仿宋_GB2312" w:hAnsi="仿宋_GB2312" w:eastAsia="仿宋_GB2312" w:cs="仿宋_GB2312"/>
          <w:kern w:val="2"/>
          <w:sz w:val="32"/>
          <w:szCs w:val="32"/>
          <w:highlight w:val="none"/>
          <w:lang w:val="en-US" w:eastAsia="zh-CN" w:bidi="ar-SA"/>
        </w:rPr>
        <w:t>指单位为完成特定的行政工作任务或事业发展目标，在基本支出之外发生的各项支出。</w:t>
      </w:r>
    </w:p>
    <w:p w14:paraId="03657016">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十三、上缴上级支出：</w:t>
      </w:r>
      <w:r>
        <w:rPr>
          <w:rFonts w:hint="eastAsia" w:ascii="仿宋_GB2312" w:hAnsi="仿宋_GB2312" w:eastAsia="仿宋_GB2312" w:cs="仿宋_GB2312"/>
          <w:kern w:val="2"/>
          <w:sz w:val="32"/>
          <w:szCs w:val="32"/>
          <w:highlight w:val="none"/>
          <w:lang w:val="en-US" w:eastAsia="zh-CN" w:bidi="ar-SA"/>
        </w:rPr>
        <w:t>指事业单位按照财政部门和主管部门的规定上缴上级单位的支出。</w:t>
      </w:r>
    </w:p>
    <w:p w14:paraId="4BC1A4EF">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十四、经营支出：</w:t>
      </w:r>
      <w:r>
        <w:rPr>
          <w:rFonts w:hint="eastAsia" w:ascii="仿宋_GB2312" w:hAnsi="仿宋_GB2312" w:eastAsia="仿宋_GB2312" w:cs="仿宋_GB2312"/>
          <w:kern w:val="2"/>
          <w:sz w:val="32"/>
          <w:szCs w:val="32"/>
          <w:highlight w:val="none"/>
          <w:lang w:val="en-US" w:eastAsia="zh-CN" w:bidi="ar-SA"/>
        </w:rPr>
        <w:t>指事业单位在专业业务活动及其辅助活动之外开展非独立核算经营活动发生的支出。</w:t>
      </w:r>
    </w:p>
    <w:p w14:paraId="1228BF3C">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十五、对附属单位补助支出：</w:t>
      </w:r>
      <w:r>
        <w:rPr>
          <w:rFonts w:hint="eastAsia" w:ascii="仿宋_GB2312" w:hAnsi="仿宋_GB2312" w:eastAsia="仿宋_GB2312" w:cs="仿宋_GB2312"/>
          <w:kern w:val="2"/>
          <w:sz w:val="32"/>
          <w:szCs w:val="32"/>
          <w:highlight w:val="none"/>
          <w:lang w:val="en-US" w:eastAsia="zh-CN" w:bidi="ar-SA"/>
        </w:rPr>
        <w:t>指事业单位用财政拨款收入之外的收入对附属单位补助发生的支出。</w:t>
      </w:r>
    </w:p>
    <w:p w14:paraId="60D4330F">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十六、“三公”经费：</w:t>
      </w:r>
      <w:r>
        <w:rPr>
          <w:rFonts w:hint="eastAsia" w:ascii="仿宋_GB2312" w:hAnsi="仿宋_GB2312" w:eastAsia="仿宋_GB2312" w:cs="仿宋_GB2312"/>
          <w:kern w:val="2"/>
          <w:sz w:val="32"/>
          <w:szCs w:val="32"/>
          <w:highlight w:val="none"/>
          <w:lang w:val="en-US" w:eastAsia="zh-CN" w:bidi="ar-SA"/>
        </w:rPr>
        <w:t>指部门用财政拨款安排的因公出国（境）费、公务用车购置及运行维护费和公务接待费。其中，因公出国（境）费反映部门公务出国（境）的国际旅费、国外城市间交通费、住宿费、伙食费、培训费、公杂费等支出；公务用车购置及运行维护费反映部门公务用车购置支出（含车辆购置税、牌照费）以及按规定保留的公务用车燃料费、新能源汽车充电费、维修费、过路过桥费、保险费、安全奖励费用等支出；公务接待费反映部门按规定开支的各类公务接待（含外宾接待）费用。</w:t>
      </w:r>
    </w:p>
    <w:p w14:paraId="6E2D01FC">
      <w:pPr>
        <w:pStyle w:val="31"/>
        <w:keepNext w:val="0"/>
        <w:keepLines w:val="0"/>
        <w:pageBreakBefore w:val="0"/>
        <w:widowControl/>
        <w:kinsoku/>
        <w:wordWrap/>
        <w:overflowPunct/>
        <w:topLinePunct w:val="0"/>
        <w:autoSpaceDE/>
        <w:autoSpaceDN/>
        <w:bidi w:val="0"/>
        <w:adjustRightInd/>
        <w:snapToGrid/>
        <w:spacing w:line="560" w:lineRule="exact"/>
        <w:ind w:firstLine="641"/>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十七、机关运行经费：</w:t>
      </w:r>
      <w:r>
        <w:rPr>
          <w:rFonts w:hint="eastAsia" w:ascii="仿宋_GB2312" w:hAnsi="仿宋_GB2312" w:eastAsia="仿宋_GB2312" w:cs="仿宋_GB2312"/>
          <w:kern w:val="2"/>
          <w:sz w:val="32"/>
          <w:szCs w:val="32"/>
          <w:highlight w:val="none"/>
          <w:lang w:val="en-US" w:eastAsia="zh-CN" w:bidi="ar-SA"/>
        </w:rPr>
        <w:t>指行政单位和参照公务员法管理的事业单位财政拨款基本支出中的公用经费支出。</w:t>
      </w:r>
    </w:p>
    <w:p w14:paraId="0D901EA0">
      <w:pPr>
        <w:pStyle w:val="3"/>
        <w:keepNext w:val="0"/>
        <w:keepLines w:val="0"/>
        <w:pageBreakBefore w:val="0"/>
        <w:widowControl/>
        <w:kinsoku/>
        <w:wordWrap/>
        <w:overflowPunct/>
        <w:topLinePunct w:val="0"/>
        <w:autoSpaceDE/>
        <w:autoSpaceDN/>
        <w:bidi w:val="0"/>
        <w:spacing w:before="0" w:after="0" w:line="560" w:lineRule="exact"/>
        <w:ind w:left="0" w:right="0"/>
        <w:jc w:val="center"/>
        <w:rPr>
          <w:rFonts w:ascii="方正小标宋简体" w:hAnsi="方正小标宋简体" w:eastAsia="方正小标宋简体" w:cs="方正小标宋简体"/>
          <w:kern w:val="0"/>
          <w:sz w:val="36"/>
          <w:szCs w:val="36"/>
          <w:u w:val="none" w:color="auto"/>
        </w:rPr>
      </w:pPr>
      <w:r>
        <w:rPr>
          <w:rFonts w:ascii="方正小标宋简体" w:hAnsi="方正小标宋简体" w:eastAsia="方正小标宋简体" w:cs="方正小标宋简体"/>
          <w:kern w:val="0"/>
          <w:sz w:val="36"/>
          <w:szCs w:val="36"/>
          <w:u w:val="none" w:color="auto"/>
        </w:rPr>
        <w:t>第四部分  决算公开联系方式及信息反馈渠道</w:t>
      </w:r>
    </w:p>
    <w:p w14:paraId="6DD69467">
      <w:pPr>
        <w:pStyle w:val="31"/>
        <w:keepNext w:val="0"/>
        <w:keepLines w:val="0"/>
        <w:pageBreakBefore w:val="0"/>
        <w:widowControl/>
        <w:kinsoku/>
        <w:wordWrap/>
        <w:overflowPunct/>
        <w:topLinePunct w:val="0"/>
        <w:autoSpaceDE/>
        <w:autoSpaceDN/>
        <w:bidi w:val="0"/>
        <w:spacing w:line="560" w:lineRule="exact"/>
        <w:ind w:firstLine="640"/>
        <w:jc w:val="both"/>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本部门决算公开信息反馈和联系方式：</w:t>
      </w:r>
    </w:p>
    <w:p w14:paraId="313EBBBC">
      <w:pPr>
        <w:pStyle w:val="31"/>
        <w:keepNext w:val="0"/>
        <w:keepLines w:val="0"/>
        <w:pageBreakBefore w:val="0"/>
        <w:widowControl/>
        <w:kinsoku/>
        <w:wordWrap/>
        <w:overflowPunct/>
        <w:topLinePunct w:val="0"/>
        <w:autoSpaceDE/>
        <w:autoSpaceDN/>
        <w:bidi w:val="0"/>
        <w:spacing w:line="560" w:lineRule="exact"/>
        <w:ind w:firstLine="640"/>
        <w:jc w:val="both"/>
        <w:rPr>
          <w:rFonts w:ascii="方正小标宋简体" w:hAnsi="方正小标宋简体" w:eastAsia="方正小标宋简体" w:cs="方正小标宋简体"/>
          <w:kern w:val="0"/>
          <w:sz w:val="36"/>
          <w:szCs w:val="36"/>
          <w:u w:val="none" w:color="auto"/>
        </w:rPr>
      </w:pPr>
      <w:r>
        <w:rPr>
          <w:rFonts w:ascii="FangSong_GB2312" w:hAnsi="FangSong_GB2312" w:eastAsia="FangSong_GB2312" w:cs="FangSong_GB2312"/>
          <w:kern w:val="0"/>
          <w:sz w:val="32"/>
          <w:szCs w:val="32"/>
          <w:u w:val="none" w:color="auto"/>
        </w:rPr>
        <w:t>联系人：</w:t>
      </w:r>
      <w:r>
        <w:rPr>
          <w:rFonts w:hint="eastAsia" w:ascii="FangSong_GB2312" w:hAnsi="FangSong_GB2312" w:eastAsia="FangSong_GB2312" w:cs="FangSong_GB2312"/>
          <w:kern w:val="0"/>
          <w:sz w:val="32"/>
          <w:szCs w:val="32"/>
          <w:u w:val="none" w:color="auto"/>
          <w:lang w:eastAsia="zh-CN"/>
        </w:rPr>
        <w:t>王丽</w:t>
      </w:r>
      <w:r>
        <w:rPr>
          <w:rFonts w:ascii="Times New Roman" w:hAnsi="Times New Roman" w:eastAsia="Times New Roman" w:cs="Times New Roman"/>
          <w:kern w:val="0"/>
          <w:sz w:val="32"/>
          <w:szCs w:val="32"/>
          <w:u w:val="none" w:color="auto"/>
          <w:lang w:eastAsia="en-US"/>
        </w:rPr>
        <w:t xml:space="preserve">              </w:t>
      </w:r>
      <w:r>
        <w:rPr>
          <w:rFonts w:ascii="FangSong_GB2312" w:hAnsi="FangSong_GB2312" w:eastAsia="FangSong_GB2312" w:cs="FangSong_GB2312"/>
          <w:kern w:val="0"/>
          <w:sz w:val="32"/>
          <w:szCs w:val="32"/>
          <w:u w:val="none" w:color="auto"/>
        </w:rPr>
        <w:t>联系电话：</w:t>
      </w:r>
      <w:r>
        <w:rPr>
          <w:rFonts w:ascii="FangSong_GB2312" w:hAnsi="FangSong_GB2312" w:eastAsia="FangSong_GB2312" w:cs="FangSong_GB2312"/>
          <w:kern w:val="0"/>
          <w:sz w:val="32"/>
          <w:szCs w:val="32"/>
          <w:u w:val="none" w:color="auto"/>
          <w:lang w:eastAsia="en-US"/>
        </w:rPr>
        <w:t>0478-8762014</w:t>
      </w:r>
    </w:p>
    <w:p w14:paraId="0F510116">
      <w:pPr>
        <w:pStyle w:val="3"/>
        <w:keepNext w:val="0"/>
        <w:keepLines w:val="0"/>
        <w:pageBreakBefore w:val="0"/>
        <w:widowControl/>
        <w:kinsoku/>
        <w:wordWrap/>
        <w:overflowPunct/>
        <w:topLinePunct w:val="0"/>
        <w:autoSpaceDE/>
        <w:autoSpaceDN/>
        <w:bidi w:val="0"/>
        <w:spacing w:before="0" w:after="0" w:line="560" w:lineRule="exact"/>
        <w:jc w:val="center"/>
        <w:rPr>
          <w:rFonts w:ascii="Times New Roman" w:hAnsi="Times New Roman" w:eastAsia="Times New Roman" w:cs="Times New Roman"/>
          <w:kern w:val="0"/>
          <w:sz w:val="24"/>
          <w:u w:val="none" w:color="auto"/>
        </w:rPr>
      </w:pPr>
      <w:r>
        <w:rPr>
          <w:rFonts w:ascii="方正小标宋简体" w:hAnsi="方正小标宋简体" w:eastAsia="方正小标宋简体" w:cs="方正小标宋简体"/>
          <w:kern w:val="0"/>
          <w:sz w:val="36"/>
          <w:szCs w:val="36"/>
          <w:u w:val="none" w:color="auto"/>
        </w:rPr>
        <w:t>第五部分  部门决算表</w:t>
      </w:r>
    </w:p>
    <w:p w14:paraId="184D80B6">
      <w:pPr>
        <w:pStyle w:val="31"/>
        <w:keepNext w:val="0"/>
        <w:keepLines w:val="0"/>
        <w:pageBreakBefore w:val="0"/>
        <w:widowControl/>
        <w:kinsoku/>
        <w:wordWrap/>
        <w:overflowPunct/>
        <w:topLinePunct w:val="0"/>
        <w:autoSpaceDE/>
        <w:autoSpaceDN/>
        <w:bidi w:val="0"/>
        <w:spacing w:line="560" w:lineRule="exact"/>
        <w:ind w:firstLine="640"/>
        <w:jc w:val="both"/>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见附件。</w:t>
      </w:r>
    </w:p>
    <w:bookmarkEnd w:id="0"/>
    <w:p w14:paraId="6061FA12">
      <w:pPr>
        <w:keepNext w:val="0"/>
        <w:keepLines w:val="0"/>
        <w:pageBreakBefore w:val="0"/>
        <w:kinsoku/>
        <w:wordWrap/>
        <w:overflowPunct/>
        <w:topLinePunct w:val="0"/>
        <w:autoSpaceDE/>
        <w:autoSpaceDN/>
        <w:bidi w:val="0"/>
        <w:adjustRightInd w:val="0"/>
        <w:snapToGrid w:val="0"/>
        <w:spacing w:line="560" w:lineRule="exact"/>
        <w:jc w:val="both"/>
        <w:rPr>
          <w:rFonts w:ascii="宋体" w:hAnsi="宋体"/>
          <w:b/>
          <w:sz w:val="32"/>
          <w:szCs w:val="32"/>
          <w:u w:val="none" w:color="auto"/>
        </w:rPr>
      </w:pPr>
    </w:p>
    <w:p w14:paraId="064DC7E7">
      <w:pPr>
        <w:keepNext w:val="0"/>
        <w:keepLines w:val="0"/>
        <w:pageBreakBefore w:val="0"/>
        <w:tabs>
          <w:tab w:val="left" w:pos="8415"/>
        </w:tabs>
        <w:kinsoku/>
        <w:wordWrap/>
        <w:overflowPunct/>
        <w:topLinePunct w:val="0"/>
        <w:autoSpaceDE/>
        <w:autoSpaceDN/>
        <w:bidi w:val="0"/>
        <w:spacing w:line="560" w:lineRule="exact"/>
        <w:jc w:val="both"/>
        <w:rPr>
          <w:u w:val="none" w:color="auto"/>
        </w:rPr>
      </w:pPr>
      <w:bookmarkStart w:id="1" w:name="_GoBack"/>
      <w:bookmarkEnd w:id="1"/>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times_new_roman">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2312">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23FB9">
    <w:pPr>
      <w:pStyle w:val="11"/>
      <w:jc w:val="right"/>
      <w:rPr>
        <w:rFonts w:hint="default" w:eastAsia="Times New Roman"/>
      </w:rPr>
    </w:pPr>
  </w:p>
  <w:p w14:paraId="7D7C7B2E">
    <w:pPr>
      <w:pStyle w:val="11"/>
      <w:rPr>
        <w:rFonts w:hint="default" w:eastAsia="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743FF">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4E6BB7"/>
    <w:multiLevelType w:val="singleLevel"/>
    <w:tmpl w:val="9F4E6BB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splitPgBreakAndParaMark/>
    <w:compatSetting w:name="compatibilityMode" w:uri="http://schemas.microsoft.com/office/word" w:val="12"/>
  </w:compat>
  <w:rsids>
    <w:rsidRoot w:val="00000000"/>
    <w:rsid w:val="2B8FB362"/>
    <w:rsid w:val="3FBF47DE"/>
    <w:rsid w:val="56CC0153"/>
    <w:rsid w:val="5EFD34E8"/>
    <w:rsid w:val="5FFB337E"/>
    <w:rsid w:val="7F7FEFE4"/>
    <w:rsid w:val="7FBE46B4"/>
    <w:rsid w:val="BEB9203E"/>
    <w:rsid w:val="BFBF09E0"/>
    <w:rsid w:val="BFFFCA94"/>
    <w:rsid w:val="D34E4147"/>
    <w:rsid w:val="EEDD0792"/>
    <w:rsid w:val="F76561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basedOn w:val="1"/>
    <w:next w:val="1"/>
    <w:link w:val="25"/>
    <w:qFormat/>
    <w:uiPriority w:val="0"/>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autoRedefine/>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autoRedefine/>
    <w:qFormat/>
    <w:uiPriority w:val="0"/>
    <w:pPr>
      <w:ind w:left="1470"/>
      <w:jc w:val="left"/>
    </w:pPr>
    <w:rPr>
      <w:sz w:val="20"/>
      <w:szCs w:val="20"/>
    </w:rPr>
  </w:style>
  <w:style w:type="paragraph" w:styleId="11">
    <w:name w:val="footer"/>
    <w:basedOn w:val="1"/>
    <w:link w:val="28"/>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autoRedefine/>
    <w:qFormat/>
    <w:uiPriority w:val="0"/>
    <w:pPr>
      <w:ind w:left="630"/>
      <w:jc w:val="left"/>
    </w:pPr>
    <w:rPr>
      <w:sz w:val="20"/>
      <w:szCs w:val="20"/>
    </w:rPr>
  </w:style>
  <w:style w:type="paragraph" w:styleId="15">
    <w:name w:val="toc 6"/>
    <w:basedOn w:val="1"/>
    <w:next w:val="1"/>
    <w:autoRedefine/>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autoRedefine/>
    <w:qFormat/>
    <w:uiPriority w:val="0"/>
    <w:pPr>
      <w:ind w:left="1680"/>
      <w:jc w:val="left"/>
    </w:pPr>
    <w:rPr>
      <w:sz w:val="20"/>
      <w:szCs w:val="20"/>
    </w:rPr>
  </w:style>
  <w:style w:type="paragraph" w:styleId="18">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character" w:styleId="21">
    <w:name w:val="page number"/>
    <w:basedOn w:val="20"/>
    <w:qFormat/>
    <w:uiPriority w:val="0"/>
  </w:style>
  <w:style w:type="character" w:styleId="22">
    <w:name w:val="Hyperlink"/>
    <w:basedOn w:val="20"/>
    <w:qFormat/>
    <w:uiPriority w:val="0"/>
    <w:rPr>
      <w:color w:val="0000FF"/>
      <w:u w:val="single"/>
    </w:rPr>
  </w:style>
  <w:style w:type="paragraph" w:customStyle="1" w:styleId="23">
    <w:name w:val="Body Text First Indent1"/>
    <w:basedOn w:val="24"/>
    <w:qFormat/>
    <w:uiPriority w:val="0"/>
    <w:pPr>
      <w:ind w:firstLine="100" w:firstLineChars="100"/>
    </w:pPr>
  </w:style>
  <w:style w:type="paragraph" w:customStyle="1" w:styleId="24">
    <w:name w:val="Body Text1"/>
    <w:basedOn w:val="1"/>
    <w:qFormat/>
    <w:uiPriority w:val="0"/>
    <w:rPr>
      <w:b/>
      <w:sz w:val="44"/>
    </w:rPr>
  </w:style>
  <w:style w:type="character" w:customStyle="1" w:styleId="25">
    <w:name w:val="标题 4 Char"/>
    <w:basedOn w:val="20"/>
    <w:link w:val="5"/>
    <w:qFormat/>
    <w:uiPriority w:val="0"/>
    <w:rPr>
      <w:rFonts w:ascii="Cambria" w:hAnsi="Cambria"/>
      <w:b/>
      <w:bCs/>
      <w:kern w:val="2"/>
      <w:sz w:val="28"/>
      <w:szCs w:val="28"/>
    </w:rPr>
  </w:style>
  <w:style w:type="paragraph" w:styleId="26">
    <w:name w:val="No Spacing"/>
    <w:link w:val="27"/>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7">
    <w:name w:val="无间隔 Char"/>
    <w:link w:val="26"/>
    <w:qFormat/>
    <w:locked/>
    <w:uiPriority w:val="0"/>
    <w:rPr>
      <w:rFonts w:eastAsia="仿宋_GB2312"/>
      <w:sz w:val="30"/>
      <w:szCs w:val="22"/>
      <w:lang w:bidi="ar-SA"/>
    </w:rPr>
  </w:style>
  <w:style w:type="character" w:customStyle="1" w:styleId="28">
    <w:name w:val="页脚 Char"/>
    <w:basedOn w:val="20"/>
    <w:link w:val="11"/>
    <w:qFormat/>
    <w:uiPriority w:val="0"/>
    <w:rPr>
      <w:kern w:val="2"/>
      <w:sz w:val="18"/>
      <w:szCs w:val="18"/>
    </w:rPr>
  </w:style>
  <w:style w:type="paragraph" w:styleId="29">
    <w:name w:val="List Paragraph"/>
    <w:basedOn w:val="1"/>
    <w:qFormat/>
    <w:uiPriority w:val="0"/>
    <w:pPr>
      <w:ind w:firstLine="420" w:firstLineChars="200"/>
    </w:pPr>
  </w:style>
  <w:style w:type="character" w:customStyle="1" w:styleId="30">
    <w:name w:val="标题 3 Char"/>
    <w:basedOn w:val="20"/>
    <w:link w:val="4"/>
    <w:qFormat/>
    <w:uiPriority w:val="0"/>
    <w:rPr>
      <w:b/>
      <w:bCs/>
      <w:kern w:val="2"/>
      <w:sz w:val="32"/>
      <w:szCs w:val="32"/>
    </w:rPr>
  </w:style>
  <w:style w:type="paragraph" w:customStyle="1" w:styleId="31">
    <w:name w:val="MsoNormal"/>
    <w:basedOn w:val="1"/>
    <w:qFormat/>
    <w:uiPriority w:val="0"/>
  </w:style>
  <w:style w:type="paragraph" w:customStyle="1" w:styleId="32">
    <w:name w:val="标题宋"/>
    <w:basedOn w:val="1"/>
    <w:qFormat/>
    <w:uiPriority w:val="0"/>
    <w:pPr>
      <w:spacing w:line="560" w:lineRule="exact"/>
      <w:jc w:val="center"/>
    </w:pPr>
    <w:rPr>
      <w:rFonts w:ascii="汉仪中宋简" w:hAnsi="汉仪中宋简" w:eastAsia="汉仪中宋简" w:cs="汉仪中宋简"/>
      <w:sz w:val="48"/>
      <w:szCs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oda="http://opendope.org/answers" xmlns:w16se="http://schemas.microsoft.com/office/word/2015/wordml/symex" xmlns:odc="http://opendope.org/conditions" xmlns:odi="http://opendope.org/components" xmlns:cdr="http://schemas.openxmlformats.org/drawingml/2006/chartDrawing" xmlns:a="http://schemas.openxmlformats.org/drawingml/2006/main" xmlns:odq="http://opendope.org/questions" xmlns:c="http://schemas.openxmlformats.org/drawingml/2006/chart" xmlns:odx="http://opendope.org/xpaths" xmlns:xdr="http://schemas.openxmlformats.org/drawingml/2006/spreadsheetDrawing" xmlns:wp14="http://schemas.microsoft.com/office/word/2010/wordprocessingDrawing" xmlns:lc="http://schemas.openxmlformats.org/drawingml/2006/lockedCanvas" xmlns:dsp="http://schemas.microsoft.com/office/drawing/2008/diagram" xmlns:m="http://schemas.openxmlformats.org/officeDocument/2006/math" xmlns:w10="urn:schemas-microsoft-com:office:word" xmlns:wne="http://schemas.microsoft.com/office/word/2006/wordml" xmlns:o="urn:schemas-microsoft-com:office:office" xmlns:wetp="http://schemas.microsoft.com/office/webextensions/taskpanes/2010/11" xmlns:w14="http://schemas.microsoft.com/office/word/2010/wordml" xmlns:r="http://schemas.openxmlformats.org/officeDocument/2006/relationships" xmlns:w15="http://schemas.microsoft.com/office/word/2012/wordml" xmlns:we="http://schemas.microsoft.com/office/webextensions/webextension/2010/11" xmlns:pvml="urn:schemas-microsoft-com:office:powerpoint" xmlns:v="urn:schemas-microsoft-com:vml" xmlns:w="http://schemas.openxmlformats.org/wordprocessingml/2006/main" xmlns:wps="http://schemas.microsoft.com/office/word/2010/wordprocessingShape" xmlns:cppr="http://schemas.microsoft.com/office/2006/coverPageProps" xmlns:c14="http://schemas.microsoft.com/office/drawing/2007/8/2/chart" xmlns:wp="http://schemas.openxmlformats.org/drawingml/2006/wordprocessingDrawing" xmlns:xvml="urn:schemas-microsoft-com:office:excel" xmlns:w16cid="http://schemas.microsoft.com/office/word/2016/wordml/cid" xmlns:pic="http://schemas.openxmlformats.org/drawingml/2006/picture" xmlns:sl="http://schemas.openxmlformats.org/schemaLibrary/2006/main" xmlns:dgm="http://schemas.openxmlformats.org/drawingml/2006/diagram" xmlns:mc="http://schemas.openxmlformats.org/markup-compatibility/2006" xmlns:comp="http://schemas.openxmlformats.org/drawingml/2006/compatibility" xmlns:odgm="http://opendope.org/SmartArt/DataHierarchy"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46</Pages>
  <Words>7</Words>
  <Characters>40</Characters>
  <Lines>1</Lines>
  <Paragraphs>1</Paragraphs>
  <TotalTime>5</TotalTime>
  <ScaleCrop>false</ScaleCrop>
  <LinksUpToDate>false</LinksUpToDate>
  <CharactersWithSpaces>46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2022-03-25T12:40:00Z</dcterms:created>
  <dc:creator>Administrator</dc:creator>
  <cp:lastModifiedBy>竹子</cp:lastModifiedBy>
  <cp:lastPrinted>2021-04-18T00:45:00Z</cp:lastPrinted>
  <dcterms:modified xsi:type="dcterms:W3CDTF">2026-09-18T09:56:38Z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2052-12.8.2.20327</vt:lpwstr>
  </property>
  <property fmtid="{D5CDD505-2E9C-101B-9397-08002B2CF9AE}" pid="4" name="KSOTemplateDocerSaveRecord">
    <vt:lpwstr>eyJoZGlkIjoiN2YzNjBkOTgyNWQ1YTMxYzM3MzMwNWFiODNmOWIzYWMiLCJ1c2VySWQiOiI4MDUyMTE2MjkifQ==</vt:lpwstr>
  </property>
</Properties>
</file>